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6A34A" w14:textId="0B1ACAAD" w:rsidR="002E6ABE" w:rsidRPr="002E6ABE" w:rsidRDefault="002E6ABE" w:rsidP="002E6ABE">
      <w:pPr>
        <w:spacing w:before="240" w:after="240" w:line="240" w:lineRule="auto"/>
        <w:rPr>
          <w:b/>
          <w:color w:val="FF0000"/>
          <w:sz w:val="20"/>
          <w:szCs w:val="20"/>
        </w:rPr>
      </w:pPr>
      <w:bookmarkStart w:id="0" w:name="_GoBack"/>
      <w:bookmarkEnd w:id="0"/>
      <w:r w:rsidRPr="002E6ABE">
        <w:rPr>
          <w:b/>
          <w:color w:val="FF0000"/>
          <w:sz w:val="32"/>
          <w:szCs w:val="20"/>
        </w:rPr>
        <w:t>EMBARGOED TILL WEDNESDAY 29</w:t>
      </w:r>
      <w:r w:rsidRPr="002E6ABE">
        <w:rPr>
          <w:b/>
          <w:color w:val="FF0000"/>
          <w:sz w:val="32"/>
          <w:szCs w:val="20"/>
          <w:vertAlign w:val="superscript"/>
        </w:rPr>
        <w:t>TH</w:t>
      </w:r>
      <w:r w:rsidRPr="002E6ABE">
        <w:rPr>
          <w:b/>
          <w:color w:val="FF0000"/>
          <w:sz w:val="32"/>
          <w:szCs w:val="20"/>
        </w:rPr>
        <w:t xml:space="preserve"> JULY 2020, 00.01 GMT</w:t>
      </w:r>
      <w:r w:rsidRPr="002E6ABE">
        <w:rPr>
          <w:b/>
          <w:color w:val="FF0000"/>
          <w:sz w:val="32"/>
          <w:szCs w:val="20"/>
        </w:rPr>
        <w:br/>
      </w:r>
      <w:r w:rsidRPr="002E6ABE">
        <w:rPr>
          <w:b/>
          <w:color w:val="FF0000"/>
          <w:sz w:val="20"/>
          <w:szCs w:val="20"/>
        </w:rPr>
        <w:t>Embargoed till Tuesday 28th July 2020, 19:01 COT (Bogota)</w:t>
      </w:r>
      <w:r w:rsidRPr="002E6ABE">
        <w:rPr>
          <w:b/>
          <w:color w:val="FF0000"/>
          <w:sz w:val="20"/>
          <w:szCs w:val="20"/>
        </w:rPr>
        <w:br/>
        <w:t xml:space="preserve">Embargoed till Tuesday 28th July 2020, 20:01 EDT (New York) </w:t>
      </w:r>
      <w:r w:rsidRPr="002E6ABE">
        <w:rPr>
          <w:b/>
          <w:color w:val="FF0000"/>
          <w:sz w:val="20"/>
          <w:szCs w:val="20"/>
        </w:rPr>
        <w:br/>
        <w:t xml:space="preserve">Embargoed till Tuesday 28th July 2020, 21:01 BRT (Rio de Janeiro) </w:t>
      </w:r>
      <w:r w:rsidRPr="002E6ABE">
        <w:rPr>
          <w:b/>
          <w:color w:val="FF0000"/>
          <w:sz w:val="20"/>
          <w:szCs w:val="20"/>
        </w:rPr>
        <w:br/>
        <w:t>Embargoed till Wednesday 29th July 2020, 08:01 CST, PHST (Beijing, Manila)</w:t>
      </w:r>
    </w:p>
    <w:p w14:paraId="00000001" w14:textId="6AF1569B" w:rsidR="003543CE" w:rsidRDefault="003E12E9">
      <w:pPr>
        <w:spacing w:before="240" w:after="240" w:line="240" w:lineRule="auto"/>
        <w:rPr>
          <w:b/>
          <w:color w:val="0C343D"/>
          <w:sz w:val="28"/>
          <w:szCs w:val="28"/>
        </w:rPr>
      </w:pPr>
      <w:r>
        <w:rPr>
          <w:b/>
          <w:color w:val="0C343D"/>
          <w:sz w:val="28"/>
          <w:szCs w:val="28"/>
        </w:rPr>
        <w:t xml:space="preserve">Global Witness records the highest number of land and environmental activists murdered in one year – with the link to </w:t>
      </w:r>
      <w:r w:rsidR="00602E24">
        <w:rPr>
          <w:b/>
          <w:color w:val="0C343D"/>
          <w:sz w:val="28"/>
          <w:szCs w:val="28"/>
        </w:rPr>
        <w:t xml:space="preserve">accelerating </w:t>
      </w:r>
      <w:r>
        <w:rPr>
          <w:b/>
          <w:color w:val="0C343D"/>
          <w:sz w:val="28"/>
          <w:szCs w:val="28"/>
        </w:rPr>
        <w:t>climate</w:t>
      </w:r>
      <w:r w:rsidR="00B80503">
        <w:rPr>
          <w:b/>
          <w:color w:val="0C343D"/>
          <w:sz w:val="28"/>
          <w:szCs w:val="28"/>
        </w:rPr>
        <w:t xml:space="preserve"> change</w:t>
      </w:r>
      <w:r>
        <w:rPr>
          <w:b/>
          <w:color w:val="0C343D"/>
          <w:sz w:val="28"/>
          <w:szCs w:val="28"/>
        </w:rPr>
        <w:t xml:space="preserve"> of increasing concern </w:t>
      </w:r>
    </w:p>
    <w:p w14:paraId="00000002" w14:textId="76F94A73" w:rsidR="003543CE" w:rsidRDefault="003E12E9">
      <w:pPr>
        <w:spacing w:before="240" w:after="240" w:line="240" w:lineRule="auto"/>
        <w:rPr>
          <w:color w:val="0C343D"/>
          <w:sz w:val="24"/>
          <w:szCs w:val="24"/>
        </w:rPr>
      </w:pPr>
      <w:r>
        <w:rPr>
          <w:i/>
          <w:color w:val="0C343D"/>
          <w:sz w:val="24"/>
          <w:szCs w:val="24"/>
        </w:rPr>
        <w:t>Wednesday 29</w:t>
      </w:r>
      <w:r>
        <w:rPr>
          <w:i/>
          <w:color w:val="0C343D"/>
          <w:sz w:val="24"/>
          <w:szCs w:val="24"/>
          <w:vertAlign w:val="superscript"/>
        </w:rPr>
        <w:t>th</w:t>
      </w:r>
      <w:r>
        <w:rPr>
          <w:i/>
          <w:color w:val="0C343D"/>
          <w:sz w:val="24"/>
          <w:szCs w:val="24"/>
        </w:rPr>
        <w:t xml:space="preserve"> July 2020</w:t>
      </w:r>
      <w:r>
        <w:rPr>
          <w:color w:val="0C343D"/>
          <w:sz w:val="24"/>
          <w:szCs w:val="24"/>
        </w:rPr>
        <w:t xml:space="preserve"> – Global Witness today revealed the highest number of land and environmental defenders murdered on record in a single year, with 212 people killed in 2019 for</w:t>
      </w:r>
      <w:r w:rsidR="00E47B3B">
        <w:rPr>
          <w:color w:val="0C343D"/>
          <w:sz w:val="24"/>
          <w:szCs w:val="24"/>
        </w:rPr>
        <w:t xml:space="preserve"> peacefully</w:t>
      </w:r>
      <w:r>
        <w:rPr>
          <w:color w:val="0C343D"/>
          <w:sz w:val="24"/>
          <w:szCs w:val="24"/>
        </w:rPr>
        <w:t xml:space="preserve"> defending their homes and standing up to the destruction of nature.</w:t>
      </w:r>
    </w:p>
    <w:p w14:paraId="00000003" w14:textId="75604AEE" w:rsidR="003543CE" w:rsidRDefault="003E12E9">
      <w:pPr>
        <w:spacing w:before="240" w:after="240" w:line="240" w:lineRule="auto"/>
        <w:rPr>
          <w:color w:val="0C343D"/>
          <w:sz w:val="24"/>
          <w:szCs w:val="24"/>
        </w:rPr>
      </w:pPr>
      <w:r>
        <w:rPr>
          <w:color w:val="0C343D"/>
          <w:sz w:val="24"/>
          <w:szCs w:val="24"/>
        </w:rPr>
        <w:t xml:space="preserve">The NGO’s annual </w:t>
      </w:r>
      <w:r w:rsidR="000F32BC">
        <w:rPr>
          <w:color w:val="0C343D"/>
          <w:sz w:val="24"/>
          <w:szCs w:val="24"/>
        </w:rPr>
        <w:t xml:space="preserve">report </w:t>
      </w:r>
      <w:r>
        <w:rPr>
          <w:color w:val="0C343D"/>
          <w:sz w:val="24"/>
          <w:szCs w:val="24"/>
        </w:rPr>
        <w:t>also shed a light on the urgent role land and environmental defenders play in fighting climate breakdown</w:t>
      </w:r>
      <w:r w:rsidR="000F32BC">
        <w:rPr>
          <w:color w:val="0C343D"/>
          <w:sz w:val="24"/>
          <w:szCs w:val="24"/>
        </w:rPr>
        <w:t>, opposing</w:t>
      </w:r>
      <w:r>
        <w:rPr>
          <w:color w:val="0C343D"/>
          <w:sz w:val="24"/>
          <w:szCs w:val="24"/>
        </w:rPr>
        <w:t xml:space="preserve"> </w:t>
      </w:r>
      <w:r w:rsidR="000F32BC">
        <w:rPr>
          <w:color w:val="0C343D"/>
          <w:sz w:val="24"/>
          <w:szCs w:val="24"/>
        </w:rPr>
        <w:t xml:space="preserve">carbon intensive and unsustainable industries that are accelerating global warming and environmental damage. It </w:t>
      </w:r>
      <w:r>
        <w:rPr>
          <w:color w:val="0C343D"/>
          <w:sz w:val="24"/>
          <w:szCs w:val="24"/>
        </w:rPr>
        <w:t>points to how, under increased crackdown and surveillance during the COVID-19 pandemic</w:t>
      </w:r>
      <w:r w:rsidR="000F32BC">
        <w:rPr>
          <w:color w:val="0C343D"/>
          <w:sz w:val="24"/>
          <w:szCs w:val="24"/>
        </w:rPr>
        <w:t xml:space="preserve"> lockdown</w:t>
      </w:r>
      <w:r w:rsidR="005E7B90">
        <w:rPr>
          <w:color w:val="0C343D"/>
          <w:sz w:val="24"/>
          <w:szCs w:val="24"/>
        </w:rPr>
        <w:t>,</w:t>
      </w:r>
      <w:r>
        <w:rPr>
          <w:color w:val="0C343D"/>
          <w:sz w:val="24"/>
          <w:szCs w:val="24"/>
        </w:rPr>
        <w:t xml:space="preserve"> the protection of these activists is </w:t>
      </w:r>
      <w:r w:rsidR="00E47B3B">
        <w:rPr>
          <w:color w:val="0C343D"/>
          <w:sz w:val="24"/>
          <w:szCs w:val="24"/>
        </w:rPr>
        <w:t xml:space="preserve">all the more </w:t>
      </w:r>
      <w:r>
        <w:rPr>
          <w:color w:val="0C343D"/>
          <w:sz w:val="24"/>
          <w:szCs w:val="24"/>
        </w:rPr>
        <w:t xml:space="preserve">vital for rebuilding a safer and greener planet. </w:t>
      </w:r>
    </w:p>
    <w:p w14:paraId="00000004" w14:textId="77777777" w:rsidR="003543CE" w:rsidRDefault="003E12E9">
      <w:pPr>
        <w:spacing w:before="240" w:after="240" w:line="240" w:lineRule="auto"/>
        <w:rPr>
          <w:rFonts w:ascii="Times New Roman" w:eastAsia="Times New Roman" w:hAnsi="Times New Roman" w:cs="Times New Roman"/>
          <w:sz w:val="24"/>
          <w:szCs w:val="24"/>
        </w:rPr>
      </w:pPr>
      <w:r>
        <w:rPr>
          <w:color w:val="0C343D"/>
          <w:sz w:val="24"/>
          <w:szCs w:val="24"/>
        </w:rPr>
        <w:t xml:space="preserve">On average, </w:t>
      </w:r>
      <w:sdt>
        <w:sdtPr>
          <w:tag w:val="goog_rdk_0"/>
          <w:id w:val="540173114"/>
        </w:sdtPr>
        <w:sdtEndPr/>
        <w:sdtContent/>
      </w:sdt>
      <w:r>
        <w:rPr>
          <w:color w:val="0C343D"/>
          <w:sz w:val="24"/>
          <w:szCs w:val="24"/>
        </w:rPr>
        <w:t>four defenders have been killed every week since the creation of the Paris Climate agreement in December 2015. Countless more are silenced by violent attacks, arrests, death threats or lawsuits. </w:t>
      </w:r>
    </w:p>
    <w:p w14:paraId="00000005" w14:textId="77777777" w:rsidR="003543CE" w:rsidRDefault="003E12E9">
      <w:pPr>
        <w:spacing w:after="0" w:line="240" w:lineRule="auto"/>
        <w:rPr>
          <w:color w:val="0C343D"/>
          <w:sz w:val="24"/>
          <w:szCs w:val="24"/>
        </w:rPr>
      </w:pPr>
      <w:r>
        <w:rPr>
          <w:color w:val="0C343D"/>
          <w:sz w:val="24"/>
          <w:szCs w:val="24"/>
        </w:rPr>
        <w:t xml:space="preserve">Shockingly, over half of all reported killings last year occurred in just two countries: Colombia (peaking at 64) and the Philippines (rising from 30 in 2018 to 43 in 2019). Globally, the true number of killings was likely much higher, as cases often go undocumented. </w:t>
      </w:r>
    </w:p>
    <w:p w14:paraId="00000006" w14:textId="77777777" w:rsidR="003543CE" w:rsidRDefault="003543CE">
      <w:pPr>
        <w:spacing w:after="0" w:line="240" w:lineRule="auto"/>
        <w:rPr>
          <w:color w:val="0C343D"/>
          <w:sz w:val="24"/>
          <w:szCs w:val="24"/>
        </w:rPr>
      </w:pPr>
    </w:p>
    <w:p w14:paraId="5E6D85F9" w14:textId="77777777" w:rsidR="00602E24" w:rsidRDefault="003E12E9">
      <w:pPr>
        <w:spacing w:after="0" w:line="240" w:lineRule="auto"/>
        <w:rPr>
          <w:color w:val="0C343D"/>
          <w:sz w:val="24"/>
          <w:szCs w:val="24"/>
        </w:rPr>
      </w:pPr>
      <w:r>
        <w:rPr>
          <w:color w:val="0C343D"/>
          <w:sz w:val="24"/>
          <w:szCs w:val="24"/>
        </w:rPr>
        <w:t>These killings include the murder of Datu Kaylo Bontolan, murdered in the Philippines after opposing illegal mining in the area. A Manobo leader, he was one of many indigenous people killed in 2019, asserting their right to self-determination and protecting their ancestral lands from those looking to exploit their natural resources.</w:t>
      </w:r>
    </w:p>
    <w:p w14:paraId="2A2613FD" w14:textId="77777777" w:rsidR="00602E24" w:rsidRDefault="00602E24">
      <w:pPr>
        <w:spacing w:after="0" w:line="240" w:lineRule="auto"/>
        <w:rPr>
          <w:color w:val="0C343D"/>
          <w:sz w:val="24"/>
          <w:szCs w:val="24"/>
        </w:rPr>
      </w:pPr>
    </w:p>
    <w:p w14:paraId="00000007" w14:textId="2AB984BD" w:rsidR="003543CE" w:rsidRDefault="003E12E9">
      <w:pPr>
        <w:spacing w:after="0" w:line="240" w:lineRule="auto"/>
        <w:rPr>
          <w:color w:val="0C343D"/>
          <w:sz w:val="24"/>
          <w:szCs w:val="24"/>
        </w:rPr>
      </w:pPr>
      <w:r>
        <w:rPr>
          <w:color w:val="0C343D"/>
          <w:sz w:val="24"/>
          <w:szCs w:val="24"/>
        </w:rPr>
        <w:t>Mining was the deadliest sector globally with 50 defenders killed in 2019</w:t>
      </w:r>
      <w:r w:rsidR="00602E24">
        <w:rPr>
          <w:color w:val="0C343D"/>
          <w:sz w:val="24"/>
          <w:szCs w:val="24"/>
        </w:rPr>
        <w:t xml:space="preserve">, with agribusiness remaining a threat, particularly in </w:t>
      </w:r>
      <w:r w:rsidR="00602E24" w:rsidRPr="00602E24">
        <w:rPr>
          <w:color w:val="0C343D"/>
          <w:sz w:val="24"/>
          <w:szCs w:val="24"/>
        </w:rPr>
        <w:t xml:space="preserve">Asia </w:t>
      </w:r>
      <w:r w:rsidR="00602E24">
        <w:rPr>
          <w:color w:val="0C343D"/>
          <w:sz w:val="24"/>
          <w:szCs w:val="24"/>
        </w:rPr>
        <w:t xml:space="preserve">– where </w:t>
      </w:r>
      <w:r w:rsidR="00602E24" w:rsidRPr="00602E24">
        <w:rPr>
          <w:color w:val="0C343D"/>
          <w:sz w:val="24"/>
          <w:szCs w:val="24"/>
        </w:rPr>
        <w:t xml:space="preserve">80% of </w:t>
      </w:r>
      <w:r w:rsidR="00602E24">
        <w:rPr>
          <w:color w:val="0C343D"/>
          <w:sz w:val="24"/>
          <w:szCs w:val="24"/>
        </w:rPr>
        <w:t xml:space="preserve">agribusiness-related attacks took place. </w:t>
      </w:r>
    </w:p>
    <w:p w14:paraId="00000008" w14:textId="77777777" w:rsidR="003543CE" w:rsidRDefault="003543CE">
      <w:pPr>
        <w:spacing w:after="0" w:line="240" w:lineRule="auto"/>
        <w:rPr>
          <w:color w:val="0C343D"/>
          <w:sz w:val="24"/>
          <w:szCs w:val="24"/>
        </w:rPr>
      </w:pPr>
    </w:p>
    <w:p w14:paraId="00000009" w14:textId="40C3F863" w:rsidR="003543CE" w:rsidRDefault="003E12E9">
      <w:pPr>
        <w:pBdr>
          <w:top w:val="nil"/>
          <w:left w:val="nil"/>
          <w:bottom w:val="nil"/>
          <w:right w:val="nil"/>
          <w:between w:val="nil"/>
        </w:pBdr>
        <w:spacing w:after="0" w:line="240" w:lineRule="auto"/>
        <w:rPr>
          <w:color w:val="0C343D"/>
          <w:sz w:val="24"/>
          <w:szCs w:val="24"/>
        </w:rPr>
      </w:pPr>
      <w:r>
        <w:rPr>
          <w:color w:val="0C343D"/>
          <w:sz w:val="24"/>
          <w:szCs w:val="24"/>
        </w:rPr>
        <w:t xml:space="preserve">There have also been increasing threats and attacks in Romania, including the killing of Liviu Pop. A ranger working to protect one of Europe’s largest, primeval climate-critical forests, Liviu was shot and killed after protecting trees </w:t>
      </w:r>
      <w:r w:rsidR="00D66E7D">
        <w:rPr>
          <w:color w:val="0C343D"/>
          <w:sz w:val="24"/>
          <w:szCs w:val="24"/>
        </w:rPr>
        <w:t xml:space="preserve">in a country where organised criminal gangs are decimating these forests. </w:t>
      </w:r>
    </w:p>
    <w:p w14:paraId="0000000A" w14:textId="77777777" w:rsidR="003543CE" w:rsidRDefault="003543CE">
      <w:pPr>
        <w:pBdr>
          <w:top w:val="nil"/>
          <w:left w:val="nil"/>
          <w:bottom w:val="nil"/>
          <w:right w:val="nil"/>
          <w:between w:val="nil"/>
        </w:pBdr>
        <w:spacing w:after="0" w:line="240" w:lineRule="auto"/>
        <w:rPr>
          <w:color w:val="0C343D"/>
          <w:sz w:val="24"/>
          <w:szCs w:val="24"/>
        </w:rPr>
      </w:pPr>
    </w:p>
    <w:p w14:paraId="0000000B" w14:textId="77777777" w:rsidR="003543CE" w:rsidRDefault="003E12E9">
      <w:pPr>
        <w:pBdr>
          <w:top w:val="nil"/>
          <w:left w:val="nil"/>
          <w:bottom w:val="nil"/>
          <w:right w:val="nil"/>
          <w:between w:val="nil"/>
        </w:pBdr>
        <w:spacing w:after="0" w:line="240" w:lineRule="auto"/>
        <w:rPr>
          <w:color w:val="0C343D"/>
          <w:sz w:val="24"/>
          <w:szCs w:val="24"/>
        </w:rPr>
      </w:pPr>
      <w:r>
        <w:rPr>
          <w:color w:val="0C343D"/>
          <w:sz w:val="24"/>
          <w:szCs w:val="24"/>
        </w:rPr>
        <w:t xml:space="preserve">Activists still campaigning and under threat include Angelica Ortiz, one of the prominent Wayuu women defenders from La Guajira, who for years has opposed the largest coal mine in Latin America, as part of efforts to protect water rights for communities living in one of Colombia’s poorest regions. Throughout this campaign, she was threatened and harassed. </w:t>
      </w:r>
    </w:p>
    <w:p w14:paraId="0000000F" w14:textId="77777777" w:rsidR="003543CE" w:rsidRDefault="003E12E9">
      <w:pPr>
        <w:spacing w:after="120" w:line="240" w:lineRule="auto"/>
        <w:rPr>
          <w:b/>
          <w:color w:val="0C343D"/>
          <w:sz w:val="24"/>
          <w:szCs w:val="24"/>
        </w:rPr>
      </w:pPr>
      <w:r>
        <w:rPr>
          <w:b/>
          <w:color w:val="0C343D"/>
          <w:sz w:val="24"/>
          <w:szCs w:val="24"/>
        </w:rPr>
        <w:lastRenderedPageBreak/>
        <w:t xml:space="preserve">Rachel Cox, Campaigner, Global Witness said: </w:t>
      </w:r>
    </w:p>
    <w:p w14:paraId="00000010" w14:textId="77777777" w:rsidR="003543CE" w:rsidRDefault="003E12E9">
      <w:pPr>
        <w:spacing w:after="120" w:line="240" w:lineRule="auto"/>
        <w:rPr>
          <w:color w:val="0C343D"/>
          <w:sz w:val="24"/>
          <w:szCs w:val="24"/>
        </w:rPr>
      </w:pPr>
      <w:r>
        <w:rPr>
          <w:color w:val="0C343D"/>
          <w:sz w:val="24"/>
          <w:szCs w:val="24"/>
        </w:rPr>
        <w:t xml:space="preserve">“Agribusiness and oil, gas and mining have been consistently the biggest drivers of attacks against land and environmental defenders – and they are also the industries pushing us further into runaway climate change through deforestation and increasing carbon emissions. </w:t>
      </w:r>
    </w:p>
    <w:p w14:paraId="00000011" w14:textId="77777777" w:rsidR="003543CE" w:rsidRDefault="003E12E9">
      <w:pPr>
        <w:spacing w:after="120" w:line="240" w:lineRule="auto"/>
        <w:rPr>
          <w:color w:val="0C343D"/>
          <w:sz w:val="24"/>
          <w:szCs w:val="24"/>
        </w:rPr>
      </w:pPr>
      <w:r>
        <w:rPr>
          <w:color w:val="0C343D"/>
          <w:sz w:val="24"/>
          <w:szCs w:val="24"/>
        </w:rPr>
        <w:t xml:space="preserve">“Many of the world’s worst environmental and human rights abuses are driven by the exploitation of natural resources and corruption in the global political and economic system. Land and environmental defenders are the people who take a stand against this. </w:t>
      </w:r>
    </w:p>
    <w:p w14:paraId="00000012" w14:textId="77777777" w:rsidR="003543CE" w:rsidRDefault="003E12E9">
      <w:pPr>
        <w:spacing w:after="120" w:line="240" w:lineRule="auto"/>
        <w:rPr>
          <w:rFonts w:ascii="Times New Roman" w:eastAsia="Times New Roman" w:hAnsi="Times New Roman" w:cs="Times New Roman"/>
          <w:sz w:val="24"/>
          <w:szCs w:val="24"/>
        </w:rPr>
      </w:pPr>
      <w:r>
        <w:rPr>
          <w:color w:val="0C343D"/>
          <w:sz w:val="24"/>
          <w:szCs w:val="24"/>
        </w:rPr>
        <w:t xml:space="preserve">“If we really want to make plans for a green recovery that puts the safety, health and well-being of people at its heart, we must tackle the root causes of attacks on defenders, and follow their lead in protecting the environment and halting climate breakdown.”  </w:t>
      </w:r>
    </w:p>
    <w:p w14:paraId="00000013" w14:textId="77777777" w:rsidR="003543CE" w:rsidRDefault="003E12E9">
      <w:pPr>
        <w:spacing w:after="120" w:line="240" w:lineRule="auto"/>
        <w:rPr>
          <w:color w:val="0C343D"/>
          <w:sz w:val="24"/>
          <w:szCs w:val="24"/>
        </w:rPr>
      </w:pPr>
      <w:r>
        <w:rPr>
          <w:color w:val="0C343D"/>
          <w:sz w:val="24"/>
          <w:szCs w:val="24"/>
        </w:rPr>
        <w:t xml:space="preserve">The NGO also highlights the ongoing pattern of indigenous communities disproportionately attacked for standing up for their rights and territories – despite research showing that indigenous and local communities manage forests that contain the equivalent carbon of at least 33 times our current annual emissions. </w:t>
      </w:r>
      <w:sdt>
        <w:sdtPr>
          <w:tag w:val="goog_rdk_1"/>
          <w:id w:val="-1937982224"/>
        </w:sdtPr>
        <w:sdtEndPr/>
        <w:sdtContent/>
      </w:sdt>
      <w:r>
        <w:rPr>
          <w:color w:val="0C343D"/>
          <w:sz w:val="24"/>
          <w:szCs w:val="24"/>
        </w:rPr>
        <w:t xml:space="preserve">33 deaths of defenders occurred in the Amazon region alone, with almost 90% of these concentrated in Brazil.  </w:t>
      </w:r>
    </w:p>
    <w:p w14:paraId="00000014" w14:textId="0BC11EB2" w:rsidR="003543CE" w:rsidRDefault="005E7B90">
      <w:pPr>
        <w:spacing w:after="120" w:line="240" w:lineRule="auto"/>
        <w:rPr>
          <w:color w:val="0C343D"/>
          <w:sz w:val="24"/>
          <w:szCs w:val="24"/>
        </w:rPr>
      </w:pPr>
      <w:r>
        <w:rPr>
          <w:color w:val="0C343D"/>
          <w:sz w:val="24"/>
          <w:szCs w:val="24"/>
        </w:rPr>
        <w:t xml:space="preserve">The </w:t>
      </w:r>
      <w:r w:rsidR="003E12E9">
        <w:rPr>
          <w:color w:val="0C343D"/>
          <w:sz w:val="24"/>
          <w:szCs w:val="24"/>
        </w:rPr>
        <w:t xml:space="preserve">2019 figures </w:t>
      </w:r>
      <w:r>
        <w:rPr>
          <w:color w:val="0C343D"/>
          <w:sz w:val="24"/>
          <w:szCs w:val="24"/>
        </w:rPr>
        <w:t xml:space="preserve">also </w:t>
      </w:r>
      <w:r w:rsidR="003E12E9">
        <w:rPr>
          <w:color w:val="0C343D"/>
          <w:sz w:val="24"/>
          <w:szCs w:val="24"/>
        </w:rPr>
        <w:t xml:space="preserve">expose how </w:t>
      </w:r>
      <w:sdt>
        <w:sdtPr>
          <w:tag w:val="goog_rdk_2"/>
          <w:id w:val="284783450"/>
        </w:sdtPr>
        <w:sdtEndPr/>
        <w:sdtContent/>
      </w:sdt>
      <w:r w:rsidR="003E12E9">
        <w:rPr>
          <w:color w:val="0C343D"/>
          <w:sz w:val="24"/>
          <w:szCs w:val="24"/>
        </w:rPr>
        <w:t xml:space="preserve">over 1 in 10 defenders killed in 2019 were women. Women defenders face specific threats, including smear campaigns often focused on their private lives, with explicit sexist or sexual content. Sexual violence is also used as a tactic to silence women defenders, much of which is underreported. </w:t>
      </w:r>
    </w:p>
    <w:p w14:paraId="3E8633B4" w14:textId="530E9822" w:rsidR="00A30B2B" w:rsidRPr="00A30B2B" w:rsidRDefault="00A30B2B" w:rsidP="00A30B2B">
      <w:pPr>
        <w:spacing w:after="120" w:line="240" w:lineRule="auto"/>
        <w:rPr>
          <w:rFonts w:ascii="Times New Roman" w:eastAsia="Times New Roman" w:hAnsi="Times New Roman" w:cs="Times New Roman"/>
          <w:sz w:val="24"/>
          <w:szCs w:val="24"/>
        </w:rPr>
      </w:pPr>
      <w:r w:rsidRPr="00A30B2B">
        <w:rPr>
          <w:rFonts w:eastAsia="Times New Roman"/>
          <w:color w:val="0C343D"/>
          <w:sz w:val="24"/>
          <w:szCs w:val="24"/>
        </w:rPr>
        <w:t xml:space="preserve">Despite facing </w:t>
      </w:r>
      <w:r>
        <w:rPr>
          <w:rFonts w:eastAsia="Times New Roman"/>
          <w:color w:val="0C343D"/>
          <w:sz w:val="24"/>
          <w:szCs w:val="24"/>
        </w:rPr>
        <w:t xml:space="preserve">these </w:t>
      </w:r>
      <w:r w:rsidRPr="00A30B2B">
        <w:rPr>
          <w:rFonts w:eastAsia="Times New Roman"/>
          <w:color w:val="0C343D"/>
          <w:sz w:val="24"/>
          <w:szCs w:val="24"/>
        </w:rPr>
        <w:t xml:space="preserve">violent threats and criminalisation, defenders across the world </w:t>
      </w:r>
      <w:r>
        <w:rPr>
          <w:rFonts w:eastAsia="Times New Roman"/>
          <w:color w:val="0C343D"/>
          <w:sz w:val="24"/>
          <w:szCs w:val="24"/>
        </w:rPr>
        <w:t xml:space="preserve">still </w:t>
      </w:r>
      <w:r w:rsidRPr="00A30B2B">
        <w:rPr>
          <w:rFonts w:eastAsia="Times New Roman"/>
          <w:color w:val="0C343D"/>
          <w:sz w:val="24"/>
          <w:szCs w:val="24"/>
        </w:rPr>
        <w:t>achieved a number of successes in 2019 – a testament to their resilience, strength and determination in protecting their rights, the environment and our global climate. </w:t>
      </w:r>
    </w:p>
    <w:p w14:paraId="16E697F4" w14:textId="77777777" w:rsidR="00D66E7D" w:rsidRDefault="00A30B2B" w:rsidP="00A30B2B">
      <w:pPr>
        <w:spacing w:after="120" w:line="240" w:lineRule="auto"/>
        <w:rPr>
          <w:rFonts w:eastAsia="Times New Roman"/>
          <w:color w:val="0C343D"/>
          <w:sz w:val="24"/>
          <w:szCs w:val="24"/>
        </w:rPr>
      </w:pPr>
      <w:r w:rsidRPr="00D66E7D">
        <w:rPr>
          <w:rFonts w:eastAsia="Times New Roman"/>
          <w:bCs/>
          <w:color w:val="0C343D"/>
          <w:sz w:val="24"/>
          <w:szCs w:val="24"/>
        </w:rPr>
        <w:t xml:space="preserve">In Ecaudor, </w:t>
      </w:r>
      <w:r w:rsidRPr="00D66E7D">
        <w:rPr>
          <w:rFonts w:eastAsia="Times New Roman"/>
          <w:color w:val="0C343D"/>
          <w:sz w:val="24"/>
          <w:szCs w:val="24"/>
        </w:rPr>
        <w:t>the Waorani indigenous tribe won a landmark ruling to prevent the government</w:t>
      </w:r>
      <w:r w:rsidRPr="00A30B2B">
        <w:rPr>
          <w:rFonts w:eastAsia="Times New Roman"/>
          <w:color w:val="0C343D"/>
          <w:sz w:val="24"/>
          <w:szCs w:val="24"/>
        </w:rPr>
        <w:t xml:space="preserve"> auctioning their territory for oil and gas exploration. </w:t>
      </w:r>
      <w:r>
        <w:rPr>
          <w:rFonts w:eastAsia="Times New Roman"/>
          <w:color w:val="0C343D"/>
          <w:sz w:val="24"/>
          <w:szCs w:val="24"/>
        </w:rPr>
        <w:t xml:space="preserve">In Indonesia, </w:t>
      </w:r>
      <w:r w:rsidRPr="00A30B2B">
        <w:rPr>
          <w:rFonts w:eastAsia="Times New Roman"/>
          <w:color w:val="0C343D"/>
          <w:sz w:val="24"/>
          <w:szCs w:val="24"/>
        </w:rPr>
        <w:t xml:space="preserve">the Dayak Iban indigenous community of central Borneo in Indonesia secured legal ownership of 10,000 hectares of land, following a decades-long struggle. </w:t>
      </w:r>
    </w:p>
    <w:p w14:paraId="60D3F341" w14:textId="797BA144" w:rsidR="00A30B2B" w:rsidRPr="00A30B2B" w:rsidRDefault="00D66E7D" w:rsidP="00A30B2B">
      <w:pPr>
        <w:spacing w:after="120" w:line="240" w:lineRule="auto"/>
        <w:rPr>
          <w:rFonts w:ascii="Times New Roman" w:eastAsia="Times New Roman" w:hAnsi="Times New Roman" w:cs="Times New Roman"/>
          <w:sz w:val="24"/>
          <w:szCs w:val="24"/>
        </w:rPr>
      </w:pPr>
      <w:r>
        <w:rPr>
          <w:rFonts w:eastAsia="Times New Roman"/>
          <w:color w:val="0C343D"/>
          <w:sz w:val="24"/>
          <w:szCs w:val="24"/>
        </w:rPr>
        <w:t>And i</w:t>
      </w:r>
      <w:r w:rsidR="00A30B2B" w:rsidRPr="00A30B2B">
        <w:rPr>
          <w:rFonts w:eastAsia="Times New Roman"/>
          <w:color w:val="0C343D"/>
          <w:sz w:val="24"/>
          <w:szCs w:val="24"/>
        </w:rPr>
        <w:t xml:space="preserve">n a case brought to the UK Supreme Court by communities affected by a large-scale copper mine in Zambia, </w:t>
      </w:r>
      <w:r w:rsidR="00A30B2B">
        <w:rPr>
          <w:rFonts w:eastAsia="Times New Roman"/>
          <w:color w:val="0C343D"/>
          <w:sz w:val="24"/>
          <w:szCs w:val="24"/>
        </w:rPr>
        <w:t xml:space="preserve">a judge has significantly </w:t>
      </w:r>
      <w:r w:rsidR="00A30B2B" w:rsidRPr="00A30B2B">
        <w:rPr>
          <w:rFonts w:eastAsia="Times New Roman"/>
          <w:color w:val="0C343D"/>
          <w:sz w:val="24"/>
          <w:szCs w:val="24"/>
        </w:rPr>
        <w:t>ruled that the complaint can be heard in English courts</w:t>
      </w:r>
      <w:r w:rsidR="00A30B2B">
        <w:rPr>
          <w:rFonts w:eastAsia="Times New Roman"/>
          <w:color w:val="0C343D"/>
          <w:sz w:val="24"/>
          <w:szCs w:val="24"/>
        </w:rPr>
        <w:t xml:space="preserve"> – which </w:t>
      </w:r>
      <w:r w:rsidR="00A30B2B" w:rsidRPr="00A30B2B">
        <w:rPr>
          <w:rFonts w:eastAsia="Times New Roman"/>
          <w:color w:val="0C343D"/>
          <w:sz w:val="24"/>
          <w:szCs w:val="24"/>
        </w:rPr>
        <w:t>co</w:t>
      </w:r>
      <w:r w:rsidR="00A30B2B">
        <w:rPr>
          <w:rFonts w:eastAsia="Times New Roman"/>
          <w:color w:val="0C343D"/>
          <w:sz w:val="24"/>
          <w:szCs w:val="24"/>
        </w:rPr>
        <w:t>uld have w</w:t>
      </w:r>
      <w:r w:rsidR="00A30B2B" w:rsidRPr="00A30B2B">
        <w:rPr>
          <w:rFonts w:eastAsia="Times New Roman"/>
          <w:color w:val="0C343D"/>
          <w:sz w:val="24"/>
          <w:szCs w:val="24"/>
        </w:rPr>
        <w:t xml:space="preserve">ider implications for companies </w:t>
      </w:r>
      <w:r w:rsidR="00A30B2B">
        <w:rPr>
          <w:rFonts w:eastAsia="Times New Roman"/>
          <w:color w:val="0C343D"/>
          <w:sz w:val="24"/>
          <w:szCs w:val="24"/>
        </w:rPr>
        <w:t xml:space="preserve">failing to </w:t>
      </w:r>
      <w:r>
        <w:rPr>
          <w:rFonts w:eastAsia="Times New Roman"/>
          <w:color w:val="0C343D"/>
          <w:sz w:val="24"/>
          <w:szCs w:val="24"/>
        </w:rPr>
        <w:t>come through on</w:t>
      </w:r>
      <w:r w:rsidR="00A30B2B">
        <w:rPr>
          <w:rFonts w:eastAsia="Times New Roman"/>
          <w:color w:val="0C343D"/>
          <w:sz w:val="24"/>
          <w:szCs w:val="24"/>
        </w:rPr>
        <w:t xml:space="preserve"> their </w:t>
      </w:r>
      <w:r w:rsidR="00A30B2B" w:rsidRPr="00A30B2B">
        <w:rPr>
          <w:rFonts w:eastAsia="Times New Roman"/>
          <w:color w:val="0C343D"/>
          <w:sz w:val="24"/>
          <w:szCs w:val="24"/>
        </w:rPr>
        <w:t xml:space="preserve">public commitments </w:t>
      </w:r>
      <w:r>
        <w:rPr>
          <w:rFonts w:eastAsia="Times New Roman"/>
          <w:color w:val="0C343D"/>
          <w:sz w:val="24"/>
          <w:szCs w:val="24"/>
        </w:rPr>
        <w:t xml:space="preserve">to </w:t>
      </w:r>
      <w:r w:rsidR="00A30B2B" w:rsidRPr="00A30B2B">
        <w:rPr>
          <w:rFonts w:eastAsia="Times New Roman"/>
          <w:color w:val="0C343D"/>
          <w:sz w:val="24"/>
          <w:szCs w:val="24"/>
        </w:rPr>
        <w:t>communities and the environment</w:t>
      </w:r>
      <w:r w:rsidR="00A30B2B">
        <w:rPr>
          <w:rFonts w:eastAsia="Times New Roman"/>
          <w:color w:val="0C343D"/>
          <w:sz w:val="24"/>
          <w:szCs w:val="24"/>
        </w:rPr>
        <w:t>.</w:t>
      </w:r>
    </w:p>
    <w:p w14:paraId="00000018" w14:textId="77777777" w:rsidR="003543CE" w:rsidRDefault="003E12E9">
      <w:pPr>
        <w:spacing w:after="120" w:line="240" w:lineRule="auto"/>
        <w:rPr>
          <w:b/>
          <w:color w:val="0C343D"/>
          <w:sz w:val="24"/>
          <w:szCs w:val="24"/>
        </w:rPr>
      </w:pPr>
      <w:r>
        <w:rPr>
          <w:b/>
          <w:color w:val="0C343D"/>
          <w:sz w:val="24"/>
          <w:szCs w:val="24"/>
        </w:rPr>
        <w:t xml:space="preserve">Key stats: </w:t>
      </w:r>
    </w:p>
    <w:p w14:paraId="00000019" w14:textId="77777777" w:rsidR="003543CE" w:rsidRDefault="003E12E9">
      <w:pPr>
        <w:numPr>
          <w:ilvl w:val="0"/>
          <w:numId w:val="1"/>
        </w:numPr>
        <w:pBdr>
          <w:top w:val="nil"/>
          <w:left w:val="nil"/>
          <w:bottom w:val="nil"/>
          <w:right w:val="nil"/>
          <w:between w:val="nil"/>
        </w:pBdr>
        <w:spacing w:after="0" w:line="240" w:lineRule="auto"/>
        <w:rPr>
          <w:color w:val="0C343D"/>
          <w:sz w:val="24"/>
          <w:szCs w:val="24"/>
        </w:rPr>
      </w:pPr>
      <w:r>
        <w:rPr>
          <w:color w:val="0C343D"/>
          <w:sz w:val="24"/>
          <w:szCs w:val="24"/>
        </w:rPr>
        <w:t xml:space="preserve">Over half of those killed were from mining-affected communities in Latin America. The Philippines was the country with most mining-related deaths, with 16 people killed. </w:t>
      </w:r>
    </w:p>
    <w:p w14:paraId="0000001A" w14:textId="77777777" w:rsidR="003543CE" w:rsidRDefault="003E12E9">
      <w:pPr>
        <w:numPr>
          <w:ilvl w:val="0"/>
          <w:numId w:val="1"/>
        </w:numPr>
        <w:pBdr>
          <w:top w:val="nil"/>
          <w:left w:val="nil"/>
          <w:bottom w:val="nil"/>
          <w:right w:val="nil"/>
          <w:between w:val="nil"/>
        </w:pBdr>
        <w:spacing w:after="0" w:line="240" w:lineRule="auto"/>
        <w:rPr>
          <w:color w:val="0C343D"/>
          <w:sz w:val="24"/>
          <w:szCs w:val="24"/>
        </w:rPr>
      </w:pPr>
      <w:r>
        <w:rPr>
          <w:color w:val="0C343D"/>
          <w:sz w:val="24"/>
          <w:szCs w:val="24"/>
        </w:rPr>
        <w:t>Logging was the sector with the highest increase in killings globally since 2018, with 85% more attacks recorded against defenders opposing the industry.</w:t>
      </w:r>
    </w:p>
    <w:p w14:paraId="0000001B" w14:textId="77777777" w:rsidR="003543CE" w:rsidRDefault="003E12E9" w:rsidP="005E7B9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C343D"/>
          <w:sz w:val="24"/>
          <w:szCs w:val="24"/>
        </w:rPr>
      </w:pPr>
      <w:r>
        <w:rPr>
          <w:color w:val="0C343D"/>
          <w:sz w:val="24"/>
          <w:szCs w:val="24"/>
        </w:rPr>
        <w:t>Over two thirds of killings took place in Latin America, which has been consistently ranked the worst affected continent since Global Witness began to publish data in 2012. 33 deaths occurred in the Amazon region, with almost 90% of these concentrated i</w:t>
      </w:r>
      <w:r>
        <w:rPr>
          <w:color w:val="073763"/>
          <w:sz w:val="24"/>
          <w:szCs w:val="24"/>
        </w:rPr>
        <w:t>n Brazil.</w:t>
      </w:r>
    </w:p>
    <w:p w14:paraId="0000001C" w14:textId="4F4E1FDB" w:rsidR="003543CE" w:rsidRDefault="003E12E9">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C343D"/>
          <w:sz w:val="24"/>
          <w:szCs w:val="24"/>
        </w:rPr>
      </w:pPr>
      <w:r>
        <w:rPr>
          <w:color w:val="0C343D"/>
          <w:sz w:val="24"/>
          <w:szCs w:val="24"/>
        </w:rPr>
        <w:t>Asia has consistently been one of the worst regions for attacks related to agribusiness - a long-time driver of attacks aga</w:t>
      </w:r>
      <w:r w:rsidR="008A519B">
        <w:rPr>
          <w:color w:val="0C343D"/>
          <w:sz w:val="24"/>
          <w:szCs w:val="24"/>
        </w:rPr>
        <w:t>inst defenders. In 2019, over 85</w:t>
      </w:r>
      <w:r>
        <w:rPr>
          <w:color w:val="0C343D"/>
          <w:sz w:val="24"/>
          <w:szCs w:val="24"/>
        </w:rPr>
        <w:t xml:space="preserve">% of </w:t>
      </w:r>
      <w:r>
        <w:rPr>
          <w:color w:val="0C343D"/>
          <w:sz w:val="24"/>
          <w:szCs w:val="24"/>
        </w:rPr>
        <w:lastRenderedPageBreak/>
        <w:t xml:space="preserve">agribusiness related attacks recorded were in Asia. </w:t>
      </w:r>
      <w:r w:rsidR="008A519B">
        <w:rPr>
          <w:color w:val="0C343D"/>
          <w:sz w:val="24"/>
          <w:szCs w:val="24"/>
        </w:rPr>
        <w:t>Of these, almost 90%</w:t>
      </w:r>
      <w:r>
        <w:rPr>
          <w:color w:val="0C343D"/>
          <w:sz w:val="24"/>
          <w:szCs w:val="24"/>
        </w:rPr>
        <w:t xml:space="preserve"> of these were documented in the Philippines. </w:t>
      </w:r>
    </w:p>
    <w:p w14:paraId="0000001D" w14:textId="77777777" w:rsidR="003543CE" w:rsidRDefault="003543CE">
      <w:pPr>
        <w:spacing w:after="120" w:line="240" w:lineRule="auto"/>
        <w:rPr>
          <w:b/>
          <w:i/>
          <w:color w:val="C00000"/>
          <w:sz w:val="24"/>
          <w:szCs w:val="24"/>
        </w:rPr>
      </w:pPr>
    </w:p>
    <w:p w14:paraId="0000001E" w14:textId="6724B7CB" w:rsidR="003543CE" w:rsidRDefault="005E7B90">
      <w:pPr>
        <w:spacing w:after="120" w:line="240" w:lineRule="auto"/>
        <w:rPr>
          <w:rFonts w:ascii="Times New Roman" w:eastAsia="Times New Roman" w:hAnsi="Times New Roman" w:cs="Times New Roman"/>
          <w:sz w:val="24"/>
          <w:szCs w:val="24"/>
        </w:rPr>
      </w:pPr>
      <w:r>
        <w:rPr>
          <w:b/>
          <w:i/>
          <w:color w:val="C00000"/>
          <w:sz w:val="24"/>
          <w:szCs w:val="24"/>
        </w:rPr>
        <w:t>T</w:t>
      </w:r>
      <w:r w:rsidR="003E12E9">
        <w:rPr>
          <w:b/>
          <w:i/>
          <w:color w:val="C00000"/>
          <w:sz w:val="24"/>
          <w:szCs w:val="24"/>
        </w:rPr>
        <w:t>otal number of killings per country.</w:t>
      </w:r>
    </w:p>
    <w:tbl>
      <w:tblPr>
        <w:tblStyle w:val="a"/>
        <w:tblW w:w="1826" w:type="dxa"/>
        <w:tblLayout w:type="fixed"/>
        <w:tblLook w:val="0400" w:firstRow="0" w:lastRow="0" w:firstColumn="0" w:lastColumn="0" w:noHBand="0" w:noVBand="1"/>
      </w:tblPr>
      <w:tblGrid>
        <w:gridCol w:w="1372"/>
        <w:gridCol w:w="454"/>
      </w:tblGrid>
      <w:tr w:rsidR="003543CE" w14:paraId="13E95B10" w14:textId="77777777">
        <w:trPr>
          <w:trHeight w:val="290"/>
        </w:trPr>
        <w:tc>
          <w:tcPr>
            <w:tcW w:w="1372" w:type="dxa"/>
            <w:tcMar>
              <w:top w:w="0" w:type="dxa"/>
              <w:left w:w="115" w:type="dxa"/>
              <w:bottom w:w="0" w:type="dxa"/>
              <w:right w:w="115" w:type="dxa"/>
            </w:tcMar>
            <w:vAlign w:val="bottom"/>
          </w:tcPr>
          <w:p w14:paraId="0000001F" w14:textId="77777777" w:rsidR="003543CE" w:rsidRDefault="003E12E9">
            <w:pPr>
              <w:spacing w:after="0" w:line="240" w:lineRule="auto"/>
              <w:rPr>
                <w:rFonts w:ascii="Times New Roman" w:eastAsia="Times New Roman" w:hAnsi="Times New Roman" w:cs="Times New Roman"/>
                <w:sz w:val="24"/>
                <w:szCs w:val="24"/>
              </w:rPr>
            </w:pPr>
            <w:r>
              <w:rPr>
                <w:color w:val="0C343D"/>
              </w:rPr>
              <w:t>Colombia</w:t>
            </w:r>
          </w:p>
        </w:tc>
        <w:tc>
          <w:tcPr>
            <w:tcW w:w="454" w:type="dxa"/>
            <w:tcMar>
              <w:top w:w="0" w:type="dxa"/>
              <w:left w:w="115" w:type="dxa"/>
              <w:bottom w:w="0" w:type="dxa"/>
              <w:right w:w="115" w:type="dxa"/>
            </w:tcMar>
            <w:vAlign w:val="bottom"/>
          </w:tcPr>
          <w:p w14:paraId="00000020"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64</w:t>
            </w:r>
          </w:p>
        </w:tc>
      </w:tr>
      <w:tr w:rsidR="003543CE" w14:paraId="7A573A58" w14:textId="77777777">
        <w:trPr>
          <w:trHeight w:val="290"/>
        </w:trPr>
        <w:tc>
          <w:tcPr>
            <w:tcW w:w="1372" w:type="dxa"/>
            <w:tcMar>
              <w:top w:w="0" w:type="dxa"/>
              <w:left w:w="115" w:type="dxa"/>
              <w:bottom w:w="0" w:type="dxa"/>
              <w:right w:w="115" w:type="dxa"/>
            </w:tcMar>
            <w:vAlign w:val="bottom"/>
          </w:tcPr>
          <w:p w14:paraId="00000021" w14:textId="77777777" w:rsidR="003543CE" w:rsidRDefault="003E12E9">
            <w:pPr>
              <w:spacing w:after="0" w:line="240" w:lineRule="auto"/>
              <w:rPr>
                <w:rFonts w:ascii="Times New Roman" w:eastAsia="Times New Roman" w:hAnsi="Times New Roman" w:cs="Times New Roman"/>
                <w:sz w:val="24"/>
                <w:szCs w:val="24"/>
              </w:rPr>
            </w:pPr>
            <w:r>
              <w:rPr>
                <w:color w:val="0C343D"/>
              </w:rPr>
              <w:t>Philippines</w:t>
            </w:r>
          </w:p>
        </w:tc>
        <w:tc>
          <w:tcPr>
            <w:tcW w:w="454" w:type="dxa"/>
            <w:tcMar>
              <w:top w:w="0" w:type="dxa"/>
              <w:left w:w="115" w:type="dxa"/>
              <w:bottom w:w="0" w:type="dxa"/>
              <w:right w:w="115" w:type="dxa"/>
            </w:tcMar>
            <w:vAlign w:val="bottom"/>
          </w:tcPr>
          <w:p w14:paraId="00000022"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43</w:t>
            </w:r>
          </w:p>
        </w:tc>
      </w:tr>
      <w:tr w:rsidR="003543CE" w14:paraId="7F663162" w14:textId="77777777">
        <w:trPr>
          <w:trHeight w:val="290"/>
        </w:trPr>
        <w:tc>
          <w:tcPr>
            <w:tcW w:w="1372" w:type="dxa"/>
            <w:tcMar>
              <w:top w:w="0" w:type="dxa"/>
              <w:left w:w="115" w:type="dxa"/>
              <w:bottom w:w="0" w:type="dxa"/>
              <w:right w:w="115" w:type="dxa"/>
            </w:tcMar>
            <w:vAlign w:val="bottom"/>
          </w:tcPr>
          <w:p w14:paraId="00000023" w14:textId="77777777" w:rsidR="003543CE" w:rsidRDefault="003E12E9">
            <w:pPr>
              <w:spacing w:after="0" w:line="240" w:lineRule="auto"/>
              <w:rPr>
                <w:rFonts w:ascii="Times New Roman" w:eastAsia="Times New Roman" w:hAnsi="Times New Roman" w:cs="Times New Roman"/>
                <w:sz w:val="24"/>
                <w:szCs w:val="24"/>
              </w:rPr>
            </w:pPr>
            <w:r>
              <w:rPr>
                <w:color w:val="0C343D"/>
              </w:rPr>
              <w:t>Brazil</w:t>
            </w:r>
          </w:p>
        </w:tc>
        <w:tc>
          <w:tcPr>
            <w:tcW w:w="454" w:type="dxa"/>
            <w:tcMar>
              <w:top w:w="0" w:type="dxa"/>
              <w:left w:w="115" w:type="dxa"/>
              <w:bottom w:w="0" w:type="dxa"/>
              <w:right w:w="115" w:type="dxa"/>
            </w:tcMar>
            <w:vAlign w:val="bottom"/>
          </w:tcPr>
          <w:p w14:paraId="00000024"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24</w:t>
            </w:r>
          </w:p>
        </w:tc>
      </w:tr>
      <w:tr w:rsidR="003543CE" w14:paraId="0E8180B4" w14:textId="77777777">
        <w:trPr>
          <w:trHeight w:val="290"/>
        </w:trPr>
        <w:tc>
          <w:tcPr>
            <w:tcW w:w="1372" w:type="dxa"/>
            <w:tcMar>
              <w:top w:w="0" w:type="dxa"/>
              <w:left w:w="115" w:type="dxa"/>
              <w:bottom w:w="0" w:type="dxa"/>
              <w:right w:w="115" w:type="dxa"/>
            </w:tcMar>
            <w:vAlign w:val="bottom"/>
          </w:tcPr>
          <w:p w14:paraId="00000025" w14:textId="77777777" w:rsidR="003543CE" w:rsidRDefault="003E12E9">
            <w:pPr>
              <w:spacing w:after="0" w:line="240" w:lineRule="auto"/>
              <w:rPr>
                <w:rFonts w:ascii="Times New Roman" w:eastAsia="Times New Roman" w:hAnsi="Times New Roman" w:cs="Times New Roman"/>
                <w:sz w:val="24"/>
                <w:szCs w:val="24"/>
              </w:rPr>
            </w:pPr>
            <w:r>
              <w:rPr>
                <w:color w:val="0C343D"/>
              </w:rPr>
              <w:t>Mexico</w:t>
            </w:r>
          </w:p>
        </w:tc>
        <w:tc>
          <w:tcPr>
            <w:tcW w:w="454" w:type="dxa"/>
            <w:tcMar>
              <w:top w:w="0" w:type="dxa"/>
              <w:left w:w="115" w:type="dxa"/>
              <w:bottom w:w="0" w:type="dxa"/>
              <w:right w:w="115" w:type="dxa"/>
            </w:tcMar>
            <w:vAlign w:val="bottom"/>
          </w:tcPr>
          <w:p w14:paraId="00000026"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18</w:t>
            </w:r>
          </w:p>
        </w:tc>
      </w:tr>
      <w:tr w:rsidR="003543CE" w14:paraId="193335DC" w14:textId="77777777">
        <w:trPr>
          <w:trHeight w:val="290"/>
        </w:trPr>
        <w:tc>
          <w:tcPr>
            <w:tcW w:w="1372" w:type="dxa"/>
            <w:tcMar>
              <w:top w:w="0" w:type="dxa"/>
              <w:left w:w="115" w:type="dxa"/>
              <w:bottom w:w="0" w:type="dxa"/>
              <w:right w:w="115" w:type="dxa"/>
            </w:tcMar>
            <w:vAlign w:val="bottom"/>
          </w:tcPr>
          <w:p w14:paraId="00000027" w14:textId="77777777" w:rsidR="003543CE" w:rsidRDefault="003E12E9">
            <w:pPr>
              <w:spacing w:after="0" w:line="240" w:lineRule="auto"/>
              <w:rPr>
                <w:rFonts w:ascii="Times New Roman" w:eastAsia="Times New Roman" w:hAnsi="Times New Roman" w:cs="Times New Roman"/>
                <w:sz w:val="24"/>
                <w:szCs w:val="24"/>
              </w:rPr>
            </w:pPr>
            <w:r>
              <w:rPr>
                <w:color w:val="0C343D"/>
              </w:rPr>
              <w:t>Honduras</w:t>
            </w:r>
          </w:p>
        </w:tc>
        <w:tc>
          <w:tcPr>
            <w:tcW w:w="454" w:type="dxa"/>
            <w:tcMar>
              <w:top w:w="0" w:type="dxa"/>
              <w:left w:w="115" w:type="dxa"/>
              <w:bottom w:w="0" w:type="dxa"/>
              <w:right w:w="115" w:type="dxa"/>
            </w:tcMar>
            <w:vAlign w:val="bottom"/>
          </w:tcPr>
          <w:p w14:paraId="00000028"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14</w:t>
            </w:r>
          </w:p>
        </w:tc>
      </w:tr>
      <w:tr w:rsidR="003543CE" w14:paraId="5CA602CD" w14:textId="77777777">
        <w:trPr>
          <w:trHeight w:val="290"/>
        </w:trPr>
        <w:tc>
          <w:tcPr>
            <w:tcW w:w="1372" w:type="dxa"/>
            <w:tcMar>
              <w:top w:w="0" w:type="dxa"/>
              <w:left w:w="115" w:type="dxa"/>
              <w:bottom w:w="0" w:type="dxa"/>
              <w:right w:w="115" w:type="dxa"/>
            </w:tcMar>
            <w:vAlign w:val="bottom"/>
          </w:tcPr>
          <w:p w14:paraId="00000029" w14:textId="77777777" w:rsidR="003543CE" w:rsidRDefault="003E12E9">
            <w:pPr>
              <w:spacing w:after="0" w:line="240" w:lineRule="auto"/>
              <w:rPr>
                <w:rFonts w:ascii="Times New Roman" w:eastAsia="Times New Roman" w:hAnsi="Times New Roman" w:cs="Times New Roman"/>
                <w:sz w:val="24"/>
                <w:szCs w:val="24"/>
              </w:rPr>
            </w:pPr>
            <w:r>
              <w:rPr>
                <w:color w:val="0C343D"/>
              </w:rPr>
              <w:t>Guatemala</w:t>
            </w:r>
          </w:p>
        </w:tc>
        <w:tc>
          <w:tcPr>
            <w:tcW w:w="454" w:type="dxa"/>
            <w:tcMar>
              <w:top w:w="0" w:type="dxa"/>
              <w:left w:w="115" w:type="dxa"/>
              <w:bottom w:w="0" w:type="dxa"/>
              <w:right w:w="115" w:type="dxa"/>
            </w:tcMar>
            <w:vAlign w:val="bottom"/>
          </w:tcPr>
          <w:p w14:paraId="0000002A"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12</w:t>
            </w:r>
          </w:p>
        </w:tc>
      </w:tr>
      <w:tr w:rsidR="003543CE" w14:paraId="67C6500E" w14:textId="77777777">
        <w:trPr>
          <w:trHeight w:val="290"/>
        </w:trPr>
        <w:tc>
          <w:tcPr>
            <w:tcW w:w="1372" w:type="dxa"/>
            <w:tcMar>
              <w:top w:w="0" w:type="dxa"/>
              <w:left w:w="115" w:type="dxa"/>
              <w:bottom w:w="0" w:type="dxa"/>
              <w:right w:w="115" w:type="dxa"/>
            </w:tcMar>
            <w:vAlign w:val="bottom"/>
          </w:tcPr>
          <w:p w14:paraId="0000002B" w14:textId="77777777" w:rsidR="003543CE" w:rsidRDefault="003E12E9">
            <w:pPr>
              <w:spacing w:after="0" w:line="240" w:lineRule="auto"/>
              <w:rPr>
                <w:rFonts w:ascii="Times New Roman" w:eastAsia="Times New Roman" w:hAnsi="Times New Roman" w:cs="Times New Roman"/>
                <w:sz w:val="24"/>
                <w:szCs w:val="24"/>
              </w:rPr>
            </w:pPr>
            <w:r>
              <w:rPr>
                <w:color w:val="0C343D"/>
              </w:rPr>
              <w:t>Venezuela</w:t>
            </w:r>
          </w:p>
        </w:tc>
        <w:tc>
          <w:tcPr>
            <w:tcW w:w="454" w:type="dxa"/>
            <w:tcMar>
              <w:top w:w="0" w:type="dxa"/>
              <w:left w:w="115" w:type="dxa"/>
              <w:bottom w:w="0" w:type="dxa"/>
              <w:right w:w="115" w:type="dxa"/>
            </w:tcMar>
            <w:vAlign w:val="bottom"/>
          </w:tcPr>
          <w:p w14:paraId="0000002C"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8</w:t>
            </w:r>
          </w:p>
        </w:tc>
      </w:tr>
      <w:tr w:rsidR="003543CE" w14:paraId="3DFA2445" w14:textId="77777777">
        <w:trPr>
          <w:trHeight w:val="290"/>
        </w:trPr>
        <w:tc>
          <w:tcPr>
            <w:tcW w:w="1372" w:type="dxa"/>
            <w:tcMar>
              <w:top w:w="0" w:type="dxa"/>
              <w:left w:w="115" w:type="dxa"/>
              <w:bottom w:w="0" w:type="dxa"/>
              <w:right w:w="115" w:type="dxa"/>
            </w:tcMar>
            <w:vAlign w:val="bottom"/>
          </w:tcPr>
          <w:p w14:paraId="0000002D" w14:textId="77777777" w:rsidR="003543CE" w:rsidRDefault="003E12E9">
            <w:pPr>
              <w:spacing w:after="0" w:line="240" w:lineRule="auto"/>
              <w:rPr>
                <w:rFonts w:ascii="Times New Roman" w:eastAsia="Times New Roman" w:hAnsi="Times New Roman" w:cs="Times New Roman"/>
                <w:sz w:val="24"/>
                <w:szCs w:val="24"/>
              </w:rPr>
            </w:pPr>
            <w:r>
              <w:rPr>
                <w:color w:val="0C343D"/>
              </w:rPr>
              <w:t>India</w:t>
            </w:r>
          </w:p>
        </w:tc>
        <w:tc>
          <w:tcPr>
            <w:tcW w:w="454" w:type="dxa"/>
            <w:tcMar>
              <w:top w:w="0" w:type="dxa"/>
              <w:left w:w="115" w:type="dxa"/>
              <w:bottom w:w="0" w:type="dxa"/>
              <w:right w:w="115" w:type="dxa"/>
            </w:tcMar>
            <w:vAlign w:val="bottom"/>
          </w:tcPr>
          <w:p w14:paraId="0000002E"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6</w:t>
            </w:r>
          </w:p>
        </w:tc>
      </w:tr>
      <w:tr w:rsidR="003543CE" w14:paraId="404E3638" w14:textId="77777777">
        <w:trPr>
          <w:trHeight w:val="290"/>
        </w:trPr>
        <w:tc>
          <w:tcPr>
            <w:tcW w:w="1372" w:type="dxa"/>
            <w:tcMar>
              <w:top w:w="0" w:type="dxa"/>
              <w:left w:w="115" w:type="dxa"/>
              <w:bottom w:w="0" w:type="dxa"/>
              <w:right w:w="115" w:type="dxa"/>
            </w:tcMar>
            <w:vAlign w:val="bottom"/>
          </w:tcPr>
          <w:p w14:paraId="0000002F" w14:textId="77777777" w:rsidR="003543CE" w:rsidRDefault="003E12E9">
            <w:pPr>
              <w:spacing w:after="0" w:line="240" w:lineRule="auto"/>
              <w:rPr>
                <w:rFonts w:ascii="Times New Roman" w:eastAsia="Times New Roman" w:hAnsi="Times New Roman" w:cs="Times New Roman"/>
                <w:sz w:val="24"/>
                <w:szCs w:val="24"/>
              </w:rPr>
            </w:pPr>
            <w:r>
              <w:rPr>
                <w:color w:val="0C343D"/>
              </w:rPr>
              <w:t>Nicaragua</w:t>
            </w:r>
          </w:p>
        </w:tc>
        <w:tc>
          <w:tcPr>
            <w:tcW w:w="454" w:type="dxa"/>
            <w:tcMar>
              <w:top w:w="0" w:type="dxa"/>
              <w:left w:w="115" w:type="dxa"/>
              <w:bottom w:w="0" w:type="dxa"/>
              <w:right w:w="115" w:type="dxa"/>
            </w:tcMar>
            <w:vAlign w:val="bottom"/>
          </w:tcPr>
          <w:p w14:paraId="00000030"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5</w:t>
            </w:r>
          </w:p>
        </w:tc>
      </w:tr>
      <w:tr w:rsidR="003543CE" w14:paraId="1382E34E" w14:textId="77777777">
        <w:trPr>
          <w:trHeight w:val="290"/>
        </w:trPr>
        <w:tc>
          <w:tcPr>
            <w:tcW w:w="1372" w:type="dxa"/>
            <w:tcMar>
              <w:top w:w="0" w:type="dxa"/>
              <w:left w:w="115" w:type="dxa"/>
              <w:bottom w:w="0" w:type="dxa"/>
              <w:right w:w="115" w:type="dxa"/>
            </w:tcMar>
            <w:vAlign w:val="bottom"/>
          </w:tcPr>
          <w:p w14:paraId="00000031" w14:textId="77777777" w:rsidR="003543CE" w:rsidRDefault="003E12E9">
            <w:pPr>
              <w:spacing w:after="0" w:line="240" w:lineRule="auto"/>
              <w:rPr>
                <w:rFonts w:ascii="Times New Roman" w:eastAsia="Times New Roman" w:hAnsi="Times New Roman" w:cs="Times New Roman"/>
                <w:sz w:val="24"/>
                <w:szCs w:val="24"/>
              </w:rPr>
            </w:pPr>
            <w:r>
              <w:rPr>
                <w:color w:val="0C343D"/>
              </w:rPr>
              <w:t>Indonesia</w:t>
            </w:r>
          </w:p>
        </w:tc>
        <w:tc>
          <w:tcPr>
            <w:tcW w:w="454" w:type="dxa"/>
            <w:tcMar>
              <w:top w:w="0" w:type="dxa"/>
              <w:left w:w="115" w:type="dxa"/>
              <w:bottom w:w="0" w:type="dxa"/>
              <w:right w:w="115" w:type="dxa"/>
            </w:tcMar>
            <w:vAlign w:val="bottom"/>
          </w:tcPr>
          <w:p w14:paraId="00000032"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3</w:t>
            </w:r>
          </w:p>
        </w:tc>
      </w:tr>
      <w:tr w:rsidR="003543CE" w14:paraId="1F56DC76" w14:textId="77777777">
        <w:trPr>
          <w:trHeight w:val="290"/>
        </w:trPr>
        <w:tc>
          <w:tcPr>
            <w:tcW w:w="1372" w:type="dxa"/>
            <w:tcMar>
              <w:top w:w="0" w:type="dxa"/>
              <w:left w:w="115" w:type="dxa"/>
              <w:bottom w:w="0" w:type="dxa"/>
              <w:right w:w="115" w:type="dxa"/>
            </w:tcMar>
            <w:vAlign w:val="bottom"/>
          </w:tcPr>
          <w:p w14:paraId="00000033" w14:textId="77777777" w:rsidR="003543CE" w:rsidRDefault="003E12E9">
            <w:pPr>
              <w:spacing w:after="0" w:line="240" w:lineRule="auto"/>
              <w:rPr>
                <w:rFonts w:ascii="Times New Roman" w:eastAsia="Times New Roman" w:hAnsi="Times New Roman" w:cs="Times New Roman"/>
                <w:sz w:val="24"/>
                <w:szCs w:val="24"/>
              </w:rPr>
            </w:pPr>
            <w:r>
              <w:rPr>
                <w:color w:val="0C343D"/>
              </w:rPr>
              <w:t>DRC</w:t>
            </w:r>
          </w:p>
        </w:tc>
        <w:tc>
          <w:tcPr>
            <w:tcW w:w="454" w:type="dxa"/>
            <w:tcMar>
              <w:top w:w="0" w:type="dxa"/>
              <w:left w:w="115" w:type="dxa"/>
              <w:bottom w:w="0" w:type="dxa"/>
              <w:right w:w="115" w:type="dxa"/>
            </w:tcMar>
            <w:vAlign w:val="bottom"/>
          </w:tcPr>
          <w:p w14:paraId="00000034"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2</w:t>
            </w:r>
          </w:p>
        </w:tc>
      </w:tr>
      <w:tr w:rsidR="003543CE" w14:paraId="62546C63" w14:textId="77777777">
        <w:trPr>
          <w:trHeight w:val="290"/>
        </w:trPr>
        <w:tc>
          <w:tcPr>
            <w:tcW w:w="1372" w:type="dxa"/>
            <w:tcMar>
              <w:top w:w="0" w:type="dxa"/>
              <w:left w:w="115" w:type="dxa"/>
              <w:bottom w:w="0" w:type="dxa"/>
              <w:right w:w="115" w:type="dxa"/>
            </w:tcMar>
            <w:vAlign w:val="bottom"/>
          </w:tcPr>
          <w:p w14:paraId="00000035" w14:textId="77777777" w:rsidR="003543CE" w:rsidRDefault="003E12E9">
            <w:pPr>
              <w:spacing w:after="0" w:line="240" w:lineRule="auto"/>
              <w:rPr>
                <w:rFonts w:ascii="Times New Roman" w:eastAsia="Times New Roman" w:hAnsi="Times New Roman" w:cs="Times New Roman"/>
                <w:sz w:val="24"/>
                <w:szCs w:val="24"/>
              </w:rPr>
            </w:pPr>
            <w:r>
              <w:rPr>
                <w:color w:val="0C343D"/>
              </w:rPr>
              <w:t>Burkina Faso</w:t>
            </w:r>
          </w:p>
        </w:tc>
        <w:tc>
          <w:tcPr>
            <w:tcW w:w="454" w:type="dxa"/>
            <w:tcMar>
              <w:top w:w="0" w:type="dxa"/>
              <w:left w:w="115" w:type="dxa"/>
              <w:bottom w:w="0" w:type="dxa"/>
              <w:right w:w="115" w:type="dxa"/>
            </w:tcMar>
            <w:vAlign w:val="bottom"/>
          </w:tcPr>
          <w:p w14:paraId="00000036"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2</w:t>
            </w:r>
          </w:p>
        </w:tc>
      </w:tr>
      <w:tr w:rsidR="003543CE" w14:paraId="5BCF03C8" w14:textId="77777777">
        <w:trPr>
          <w:trHeight w:val="290"/>
        </w:trPr>
        <w:tc>
          <w:tcPr>
            <w:tcW w:w="1372" w:type="dxa"/>
            <w:tcMar>
              <w:top w:w="0" w:type="dxa"/>
              <w:left w:w="115" w:type="dxa"/>
              <w:bottom w:w="0" w:type="dxa"/>
              <w:right w:w="115" w:type="dxa"/>
            </w:tcMar>
            <w:vAlign w:val="bottom"/>
          </w:tcPr>
          <w:p w14:paraId="00000037" w14:textId="77777777" w:rsidR="003543CE" w:rsidRDefault="003E12E9">
            <w:pPr>
              <w:spacing w:after="0" w:line="240" w:lineRule="auto"/>
              <w:rPr>
                <w:rFonts w:ascii="Times New Roman" w:eastAsia="Times New Roman" w:hAnsi="Times New Roman" w:cs="Times New Roman"/>
                <w:sz w:val="24"/>
                <w:szCs w:val="24"/>
              </w:rPr>
            </w:pPr>
            <w:r>
              <w:rPr>
                <w:color w:val="0C343D"/>
              </w:rPr>
              <w:t>Romania</w:t>
            </w:r>
          </w:p>
        </w:tc>
        <w:tc>
          <w:tcPr>
            <w:tcW w:w="454" w:type="dxa"/>
            <w:tcMar>
              <w:top w:w="0" w:type="dxa"/>
              <w:left w:w="115" w:type="dxa"/>
              <w:bottom w:w="0" w:type="dxa"/>
              <w:right w:w="115" w:type="dxa"/>
            </w:tcMar>
            <w:vAlign w:val="bottom"/>
          </w:tcPr>
          <w:p w14:paraId="00000038"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2</w:t>
            </w:r>
          </w:p>
        </w:tc>
      </w:tr>
      <w:tr w:rsidR="003543CE" w14:paraId="2FD0E620" w14:textId="77777777">
        <w:trPr>
          <w:trHeight w:val="290"/>
        </w:trPr>
        <w:tc>
          <w:tcPr>
            <w:tcW w:w="1372" w:type="dxa"/>
            <w:tcMar>
              <w:top w:w="0" w:type="dxa"/>
              <w:left w:w="115" w:type="dxa"/>
              <w:bottom w:w="0" w:type="dxa"/>
              <w:right w:w="115" w:type="dxa"/>
            </w:tcMar>
            <w:vAlign w:val="bottom"/>
          </w:tcPr>
          <w:p w14:paraId="00000039" w14:textId="77777777" w:rsidR="003543CE" w:rsidRDefault="003E12E9">
            <w:pPr>
              <w:spacing w:after="0" w:line="240" w:lineRule="auto"/>
              <w:rPr>
                <w:rFonts w:ascii="Times New Roman" w:eastAsia="Times New Roman" w:hAnsi="Times New Roman" w:cs="Times New Roman"/>
                <w:sz w:val="24"/>
                <w:szCs w:val="24"/>
              </w:rPr>
            </w:pPr>
            <w:r>
              <w:rPr>
                <w:color w:val="0C343D"/>
              </w:rPr>
              <w:t>Kazakhstan</w:t>
            </w:r>
          </w:p>
        </w:tc>
        <w:tc>
          <w:tcPr>
            <w:tcW w:w="454" w:type="dxa"/>
            <w:tcMar>
              <w:top w:w="0" w:type="dxa"/>
              <w:left w:w="115" w:type="dxa"/>
              <w:bottom w:w="0" w:type="dxa"/>
              <w:right w:w="115" w:type="dxa"/>
            </w:tcMar>
            <w:vAlign w:val="bottom"/>
          </w:tcPr>
          <w:p w14:paraId="0000003A"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2</w:t>
            </w:r>
          </w:p>
        </w:tc>
      </w:tr>
      <w:tr w:rsidR="003543CE" w14:paraId="7C1924A0" w14:textId="77777777">
        <w:trPr>
          <w:trHeight w:val="290"/>
        </w:trPr>
        <w:tc>
          <w:tcPr>
            <w:tcW w:w="1372" w:type="dxa"/>
            <w:tcMar>
              <w:top w:w="0" w:type="dxa"/>
              <w:left w:w="115" w:type="dxa"/>
              <w:bottom w:w="0" w:type="dxa"/>
              <w:right w:w="115" w:type="dxa"/>
            </w:tcMar>
            <w:vAlign w:val="bottom"/>
          </w:tcPr>
          <w:p w14:paraId="0000003B" w14:textId="77777777" w:rsidR="003543CE" w:rsidRDefault="003E12E9">
            <w:pPr>
              <w:spacing w:after="0" w:line="240" w:lineRule="auto"/>
              <w:rPr>
                <w:rFonts w:ascii="Times New Roman" w:eastAsia="Times New Roman" w:hAnsi="Times New Roman" w:cs="Times New Roman"/>
                <w:sz w:val="24"/>
                <w:szCs w:val="24"/>
              </w:rPr>
            </w:pPr>
            <w:r>
              <w:rPr>
                <w:color w:val="0C343D"/>
              </w:rPr>
              <w:t>Uganda</w:t>
            </w:r>
          </w:p>
        </w:tc>
        <w:tc>
          <w:tcPr>
            <w:tcW w:w="454" w:type="dxa"/>
            <w:tcMar>
              <w:top w:w="0" w:type="dxa"/>
              <w:left w:w="115" w:type="dxa"/>
              <w:bottom w:w="0" w:type="dxa"/>
              <w:right w:w="115" w:type="dxa"/>
            </w:tcMar>
            <w:vAlign w:val="bottom"/>
          </w:tcPr>
          <w:p w14:paraId="0000003C"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6B9F0782" w14:textId="77777777">
        <w:trPr>
          <w:trHeight w:val="290"/>
        </w:trPr>
        <w:tc>
          <w:tcPr>
            <w:tcW w:w="1372" w:type="dxa"/>
            <w:tcMar>
              <w:top w:w="0" w:type="dxa"/>
              <w:left w:w="115" w:type="dxa"/>
              <w:bottom w:w="0" w:type="dxa"/>
              <w:right w:w="115" w:type="dxa"/>
            </w:tcMar>
            <w:vAlign w:val="bottom"/>
          </w:tcPr>
          <w:p w14:paraId="0000003D" w14:textId="77777777" w:rsidR="003543CE" w:rsidRDefault="003E12E9">
            <w:pPr>
              <w:spacing w:after="0" w:line="240" w:lineRule="auto"/>
              <w:rPr>
                <w:rFonts w:ascii="Times New Roman" w:eastAsia="Times New Roman" w:hAnsi="Times New Roman" w:cs="Times New Roman"/>
                <w:sz w:val="24"/>
                <w:szCs w:val="24"/>
              </w:rPr>
            </w:pPr>
            <w:r>
              <w:rPr>
                <w:color w:val="0C343D"/>
              </w:rPr>
              <w:t>Peru</w:t>
            </w:r>
          </w:p>
        </w:tc>
        <w:tc>
          <w:tcPr>
            <w:tcW w:w="454" w:type="dxa"/>
            <w:tcMar>
              <w:top w:w="0" w:type="dxa"/>
              <w:left w:w="115" w:type="dxa"/>
              <w:bottom w:w="0" w:type="dxa"/>
              <w:right w:w="115" w:type="dxa"/>
            </w:tcMar>
            <w:vAlign w:val="bottom"/>
          </w:tcPr>
          <w:p w14:paraId="0000003E"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4EEFE9F5" w14:textId="77777777">
        <w:trPr>
          <w:trHeight w:val="290"/>
        </w:trPr>
        <w:tc>
          <w:tcPr>
            <w:tcW w:w="1372" w:type="dxa"/>
            <w:tcMar>
              <w:top w:w="0" w:type="dxa"/>
              <w:left w:w="115" w:type="dxa"/>
              <w:bottom w:w="0" w:type="dxa"/>
              <w:right w:w="115" w:type="dxa"/>
            </w:tcMar>
            <w:vAlign w:val="bottom"/>
          </w:tcPr>
          <w:p w14:paraId="0000003F" w14:textId="77777777" w:rsidR="003543CE" w:rsidRDefault="003E12E9">
            <w:pPr>
              <w:spacing w:after="0" w:line="240" w:lineRule="auto"/>
              <w:rPr>
                <w:rFonts w:ascii="Times New Roman" w:eastAsia="Times New Roman" w:hAnsi="Times New Roman" w:cs="Times New Roman"/>
                <w:sz w:val="24"/>
                <w:szCs w:val="24"/>
              </w:rPr>
            </w:pPr>
            <w:r>
              <w:rPr>
                <w:color w:val="0C343D"/>
              </w:rPr>
              <w:t>Cambodia</w:t>
            </w:r>
          </w:p>
        </w:tc>
        <w:tc>
          <w:tcPr>
            <w:tcW w:w="454" w:type="dxa"/>
            <w:tcMar>
              <w:top w:w="0" w:type="dxa"/>
              <w:left w:w="115" w:type="dxa"/>
              <w:bottom w:w="0" w:type="dxa"/>
              <w:right w:w="115" w:type="dxa"/>
            </w:tcMar>
            <w:vAlign w:val="bottom"/>
          </w:tcPr>
          <w:p w14:paraId="00000040"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64EF2CD9" w14:textId="77777777">
        <w:trPr>
          <w:trHeight w:val="290"/>
        </w:trPr>
        <w:tc>
          <w:tcPr>
            <w:tcW w:w="1372" w:type="dxa"/>
            <w:tcMar>
              <w:top w:w="0" w:type="dxa"/>
              <w:left w:w="115" w:type="dxa"/>
              <w:bottom w:w="0" w:type="dxa"/>
              <w:right w:w="115" w:type="dxa"/>
            </w:tcMar>
            <w:vAlign w:val="bottom"/>
          </w:tcPr>
          <w:p w14:paraId="00000041" w14:textId="77777777" w:rsidR="003543CE" w:rsidRDefault="003E12E9">
            <w:pPr>
              <w:spacing w:after="0" w:line="240" w:lineRule="auto"/>
              <w:rPr>
                <w:rFonts w:ascii="Times New Roman" w:eastAsia="Times New Roman" w:hAnsi="Times New Roman" w:cs="Times New Roman"/>
                <w:sz w:val="24"/>
                <w:szCs w:val="24"/>
              </w:rPr>
            </w:pPr>
            <w:r>
              <w:rPr>
                <w:color w:val="0C343D"/>
              </w:rPr>
              <w:t>Bolivia</w:t>
            </w:r>
          </w:p>
        </w:tc>
        <w:tc>
          <w:tcPr>
            <w:tcW w:w="454" w:type="dxa"/>
            <w:tcMar>
              <w:top w:w="0" w:type="dxa"/>
              <w:left w:w="115" w:type="dxa"/>
              <w:bottom w:w="0" w:type="dxa"/>
              <w:right w:w="115" w:type="dxa"/>
            </w:tcMar>
            <w:vAlign w:val="bottom"/>
          </w:tcPr>
          <w:p w14:paraId="00000042"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469880A9" w14:textId="77777777">
        <w:trPr>
          <w:trHeight w:val="290"/>
        </w:trPr>
        <w:tc>
          <w:tcPr>
            <w:tcW w:w="1372" w:type="dxa"/>
            <w:tcMar>
              <w:top w:w="0" w:type="dxa"/>
              <w:left w:w="115" w:type="dxa"/>
              <w:bottom w:w="0" w:type="dxa"/>
              <w:right w:w="115" w:type="dxa"/>
            </w:tcMar>
            <w:vAlign w:val="bottom"/>
          </w:tcPr>
          <w:p w14:paraId="00000043" w14:textId="77777777" w:rsidR="003543CE" w:rsidRDefault="003E12E9">
            <w:pPr>
              <w:spacing w:after="0" w:line="240" w:lineRule="auto"/>
              <w:rPr>
                <w:rFonts w:ascii="Times New Roman" w:eastAsia="Times New Roman" w:hAnsi="Times New Roman" w:cs="Times New Roman"/>
                <w:sz w:val="24"/>
                <w:szCs w:val="24"/>
              </w:rPr>
            </w:pPr>
            <w:r>
              <w:rPr>
                <w:color w:val="0C343D"/>
              </w:rPr>
              <w:t>Ghana</w:t>
            </w:r>
          </w:p>
        </w:tc>
        <w:tc>
          <w:tcPr>
            <w:tcW w:w="454" w:type="dxa"/>
            <w:tcMar>
              <w:top w:w="0" w:type="dxa"/>
              <w:left w:w="115" w:type="dxa"/>
              <w:bottom w:w="0" w:type="dxa"/>
              <w:right w:w="115" w:type="dxa"/>
            </w:tcMar>
            <w:vAlign w:val="bottom"/>
          </w:tcPr>
          <w:p w14:paraId="00000044"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638CA896" w14:textId="77777777">
        <w:trPr>
          <w:trHeight w:val="290"/>
        </w:trPr>
        <w:tc>
          <w:tcPr>
            <w:tcW w:w="1372" w:type="dxa"/>
            <w:tcMar>
              <w:top w:w="0" w:type="dxa"/>
              <w:left w:w="115" w:type="dxa"/>
              <w:bottom w:w="0" w:type="dxa"/>
              <w:right w:w="115" w:type="dxa"/>
            </w:tcMar>
            <w:vAlign w:val="bottom"/>
          </w:tcPr>
          <w:p w14:paraId="00000045" w14:textId="77777777" w:rsidR="003543CE" w:rsidRDefault="003E12E9">
            <w:pPr>
              <w:spacing w:after="0" w:line="240" w:lineRule="auto"/>
              <w:rPr>
                <w:rFonts w:ascii="Times New Roman" w:eastAsia="Times New Roman" w:hAnsi="Times New Roman" w:cs="Times New Roman"/>
                <w:sz w:val="24"/>
                <w:szCs w:val="24"/>
              </w:rPr>
            </w:pPr>
            <w:r>
              <w:rPr>
                <w:color w:val="0C343D"/>
              </w:rPr>
              <w:t>Kenya</w:t>
            </w:r>
          </w:p>
        </w:tc>
        <w:tc>
          <w:tcPr>
            <w:tcW w:w="454" w:type="dxa"/>
            <w:tcMar>
              <w:top w:w="0" w:type="dxa"/>
              <w:left w:w="115" w:type="dxa"/>
              <w:bottom w:w="0" w:type="dxa"/>
              <w:right w:w="115" w:type="dxa"/>
            </w:tcMar>
            <w:vAlign w:val="bottom"/>
          </w:tcPr>
          <w:p w14:paraId="00000046"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r w:rsidR="003543CE" w14:paraId="262C707D" w14:textId="77777777">
        <w:trPr>
          <w:trHeight w:val="290"/>
        </w:trPr>
        <w:tc>
          <w:tcPr>
            <w:tcW w:w="1372" w:type="dxa"/>
            <w:tcMar>
              <w:top w:w="0" w:type="dxa"/>
              <w:left w:w="115" w:type="dxa"/>
              <w:bottom w:w="0" w:type="dxa"/>
              <w:right w:w="115" w:type="dxa"/>
            </w:tcMar>
            <w:vAlign w:val="bottom"/>
          </w:tcPr>
          <w:p w14:paraId="00000047" w14:textId="77777777" w:rsidR="003543CE" w:rsidRDefault="003E12E9">
            <w:pPr>
              <w:spacing w:after="0" w:line="240" w:lineRule="auto"/>
              <w:rPr>
                <w:rFonts w:ascii="Times New Roman" w:eastAsia="Times New Roman" w:hAnsi="Times New Roman" w:cs="Times New Roman"/>
                <w:sz w:val="24"/>
                <w:szCs w:val="24"/>
              </w:rPr>
            </w:pPr>
            <w:r>
              <w:rPr>
                <w:color w:val="0C343D"/>
              </w:rPr>
              <w:t>Costa Rica</w:t>
            </w:r>
          </w:p>
        </w:tc>
        <w:tc>
          <w:tcPr>
            <w:tcW w:w="454" w:type="dxa"/>
            <w:tcMar>
              <w:top w:w="0" w:type="dxa"/>
              <w:left w:w="115" w:type="dxa"/>
              <w:bottom w:w="0" w:type="dxa"/>
              <w:right w:w="115" w:type="dxa"/>
            </w:tcMar>
            <w:vAlign w:val="bottom"/>
          </w:tcPr>
          <w:p w14:paraId="00000048" w14:textId="77777777" w:rsidR="003543CE" w:rsidRDefault="003E12E9">
            <w:pPr>
              <w:spacing w:after="0" w:line="240" w:lineRule="auto"/>
              <w:jc w:val="right"/>
              <w:rPr>
                <w:rFonts w:ascii="Times New Roman" w:eastAsia="Times New Roman" w:hAnsi="Times New Roman" w:cs="Times New Roman"/>
                <w:sz w:val="24"/>
                <w:szCs w:val="24"/>
              </w:rPr>
            </w:pPr>
            <w:r>
              <w:rPr>
                <w:color w:val="0C343D"/>
              </w:rPr>
              <w:t>1</w:t>
            </w:r>
          </w:p>
        </w:tc>
      </w:tr>
    </w:tbl>
    <w:p w14:paraId="00000049" w14:textId="0B7823C1" w:rsidR="003543CE" w:rsidRDefault="003543CE"/>
    <w:p w14:paraId="1B006521" w14:textId="534E170B" w:rsidR="00DF54E8" w:rsidRPr="00DF54E8" w:rsidRDefault="00DF54E8">
      <w:pPr>
        <w:rPr>
          <w:b/>
        </w:rPr>
      </w:pPr>
      <w:r w:rsidRPr="00DF54E8">
        <w:rPr>
          <w:b/>
        </w:rPr>
        <w:t xml:space="preserve">Notes to Editors: </w:t>
      </w:r>
    </w:p>
    <w:p w14:paraId="04DE57B8" w14:textId="58EEB1D8" w:rsidR="00DF54E8" w:rsidRDefault="00DF54E8" w:rsidP="00DF54E8">
      <w:pPr>
        <w:pStyle w:val="StandardWeb"/>
        <w:numPr>
          <w:ilvl w:val="0"/>
          <w:numId w:val="4"/>
        </w:numPr>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An embargoed copy of the report</w:t>
      </w:r>
      <w:r>
        <w:rPr>
          <w:rFonts w:ascii="Calibri" w:hAnsi="Calibri" w:cs="Calibri"/>
          <w:color w:val="000000"/>
          <w:sz w:val="22"/>
          <w:szCs w:val="22"/>
        </w:rPr>
        <w:t xml:space="preserve"> including key stats on countries, global trends, industry drivers and perpetrators is available on request/ Please email </w:t>
      </w:r>
      <w:hyperlink r:id="rId10" w:history="1">
        <w:r w:rsidRPr="00AF20B9">
          <w:rPr>
            <w:rStyle w:val="Hyperlink"/>
            <w:rFonts w:ascii="Calibri" w:hAnsi="Calibri" w:cs="Calibri"/>
            <w:sz w:val="22"/>
            <w:szCs w:val="22"/>
          </w:rPr>
          <w:t>hiqbal@globalwitness.org</w:t>
        </w:r>
      </w:hyperlink>
      <w:r>
        <w:rPr>
          <w:rFonts w:ascii="Calibri" w:hAnsi="Calibri" w:cs="Calibri"/>
          <w:color w:val="000000"/>
          <w:sz w:val="22"/>
          <w:szCs w:val="22"/>
        </w:rPr>
        <w:t xml:space="preserve"> to receive. </w:t>
      </w:r>
    </w:p>
    <w:p w14:paraId="60D7F34D" w14:textId="2C80D4FF" w:rsidR="00DF54E8" w:rsidRDefault="00DF54E8" w:rsidP="00DF54E8">
      <w:pPr>
        <w:pStyle w:val="Listenabsatz"/>
        <w:numPr>
          <w:ilvl w:val="0"/>
          <w:numId w:val="4"/>
        </w:numPr>
        <w:spacing w:line="252" w:lineRule="auto"/>
        <w:rPr>
          <w:color w:val="000000"/>
        </w:rPr>
      </w:pPr>
      <w:r>
        <w:rPr>
          <w:b/>
          <w:bCs/>
          <w:color w:val="000000"/>
        </w:rPr>
        <w:t>High quality B-Roll and photographs</w:t>
      </w:r>
      <w:r>
        <w:rPr>
          <w:color w:val="000000"/>
        </w:rPr>
        <w:t xml:space="preserve"> of defenders in the countries ranked highest in this report </w:t>
      </w:r>
      <w:hyperlink r:id="rId11" w:history="1">
        <w:r w:rsidRPr="00DF54E8">
          <w:rPr>
            <w:rStyle w:val="Hyperlink"/>
          </w:rPr>
          <w:t>can be found here.</w:t>
        </w:r>
      </w:hyperlink>
      <w:r>
        <w:rPr>
          <w:color w:val="000000"/>
        </w:rPr>
        <w:t xml:space="preserve"> </w:t>
      </w:r>
    </w:p>
    <w:p w14:paraId="579DB96C" w14:textId="0D9136DE" w:rsidR="00DF54E8" w:rsidRDefault="00DF54E8" w:rsidP="00DF54E8">
      <w:pPr>
        <w:pStyle w:val="Listenabsatz"/>
        <w:numPr>
          <w:ilvl w:val="0"/>
          <w:numId w:val="4"/>
        </w:numPr>
        <w:spacing w:line="252" w:lineRule="auto"/>
        <w:rPr>
          <w:color w:val="000000"/>
        </w:rPr>
      </w:pPr>
      <w:r>
        <w:rPr>
          <w:b/>
          <w:bCs/>
          <w:color w:val="000000"/>
        </w:rPr>
        <w:t xml:space="preserve">Interviews with spokespeople: </w:t>
      </w:r>
      <w:r>
        <w:rPr>
          <w:color w:val="000000"/>
        </w:rPr>
        <w:t xml:space="preserve">Including defenders themselves and Global Witness spokespeople are available. Please email </w:t>
      </w:r>
      <w:hyperlink r:id="rId12" w:history="1">
        <w:r w:rsidRPr="00AF20B9">
          <w:rPr>
            <w:rStyle w:val="Hyperlink"/>
          </w:rPr>
          <w:t>hiqbal@globalwitness.org</w:t>
        </w:r>
      </w:hyperlink>
      <w:r>
        <w:rPr>
          <w:color w:val="000000"/>
        </w:rPr>
        <w:t xml:space="preserve"> to arrange.</w:t>
      </w:r>
    </w:p>
    <w:p w14:paraId="58DF4604" w14:textId="3CB76C7C" w:rsidR="00DF54E8" w:rsidRDefault="00DF54E8" w:rsidP="00DF54E8">
      <w:pPr>
        <w:pStyle w:val="Listenabsatz"/>
        <w:numPr>
          <w:ilvl w:val="0"/>
          <w:numId w:val="4"/>
        </w:numPr>
        <w:spacing w:line="252" w:lineRule="auto"/>
        <w:rPr>
          <w:color w:val="000000"/>
        </w:rPr>
      </w:pPr>
      <w:r>
        <w:rPr>
          <w:b/>
          <w:bCs/>
          <w:color w:val="000000"/>
        </w:rPr>
        <w:t>If you would like an invitation to our online press conference in Spanish:</w:t>
      </w:r>
      <w:r>
        <w:rPr>
          <w:color w:val="000000"/>
        </w:rPr>
        <w:t xml:space="preserve"> which will include interventions from defenders and a closer look at our Colombian case studies in the report, please email </w:t>
      </w:r>
      <w:hyperlink r:id="rId13" w:history="1">
        <w:r w:rsidRPr="00AF20B9">
          <w:rPr>
            <w:rStyle w:val="Hyperlink"/>
          </w:rPr>
          <w:t>hiqbal@globalwitness.org</w:t>
        </w:r>
      </w:hyperlink>
      <w:r>
        <w:rPr>
          <w:color w:val="000000"/>
        </w:rPr>
        <w:t xml:space="preserve"> to arrange. We will also be hosting an online English language event in August – please enquire for more detail.  </w:t>
      </w:r>
    </w:p>
    <w:sectPr w:rsidR="00DF54E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2E34"/>
    <w:multiLevelType w:val="hybridMultilevel"/>
    <w:tmpl w:val="73F87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CB35153"/>
    <w:multiLevelType w:val="multilevel"/>
    <w:tmpl w:val="4E740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6446649"/>
    <w:multiLevelType w:val="hybridMultilevel"/>
    <w:tmpl w:val="A61027BE"/>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3CE"/>
    <w:rsid w:val="000F32BC"/>
    <w:rsid w:val="001B4DF1"/>
    <w:rsid w:val="002E6ABE"/>
    <w:rsid w:val="003543CE"/>
    <w:rsid w:val="003E12E9"/>
    <w:rsid w:val="00412099"/>
    <w:rsid w:val="004D5D90"/>
    <w:rsid w:val="005A2AD2"/>
    <w:rsid w:val="005E7B90"/>
    <w:rsid w:val="00602E24"/>
    <w:rsid w:val="008A519B"/>
    <w:rsid w:val="00923804"/>
    <w:rsid w:val="00965E08"/>
    <w:rsid w:val="009D0249"/>
    <w:rsid w:val="00A30B2B"/>
    <w:rsid w:val="00B80503"/>
    <w:rsid w:val="00D03617"/>
    <w:rsid w:val="00D65995"/>
    <w:rsid w:val="00D66E7D"/>
    <w:rsid w:val="00DE7C6C"/>
    <w:rsid w:val="00DF54E8"/>
    <w:rsid w:val="00E47B3B"/>
    <w:rsid w:val="00F81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CB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before="480" w:after="120"/>
    </w:pPr>
    <w:rPr>
      <w:b/>
      <w:sz w:val="72"/>
      <w:szCs w:val="72"/>
    </w:rPr>
  </w:style>
  <w:style w:type="paragraph" w:styleId="StandardWeb">
    <w:name w:val="Normal (Web)"/>
    <w:basedOn w:val="Standard"/>
    <w:uiPriority w:val="99"/>
    <w:semiHidden/>
    <w:unhideWhenUsed/>
    <w:rsid w:val="00C75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bsatz-Standardschriftart"/>
    <w:rsid w:val="00C7567C"/>
  </w:style>
  <w:style w:type="paragraph" w:styleId="Listenabsatz">
    <w:name w:val="List Paragraph"/>
    <w:basedOn w:val="Standard"/>
    <w:uiPriority w:val="34"/>
    <w:qFormat/>
    <w:rsid w:val="00614DB3"/>
    <w:pPr>
      <w:ind w:left="720"/>
      <w:contextualSpacing/>
    </w:pPr>
  </w:style>
  <w:style w:type="character" w:styleId="Kommentarzeichen">
    <w:name w:val="annotation reference"/>
    <w:basedOn w:val="Absatz-Standardschriftart"/>
    <w:uiPriority w:val="99"/>
    <w:semiHidden/>
    <w:unhideWhenUsed/>
    <w:rsid w:val="004A4810"/>
    <w:rPr>
      <w:sz w:val="16"/>
      <w:szCs w:val="16"/>
    </w:rPr>
  </w:style>
  <w:style w:type="paragraph" w:styleId="Kommentartext">
    <w:name w:val="annotation text"/>
    <w:basedOn w:val="Standard"/>
    <w:link w:val="KommentartextZchn"/>
    <w:uiPriority w:val="99"/>
    <w:semiHidden/>
    <w:unhideWhenUsed/>
    <w:rsid w:val="004A481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A4810"/>
    <w:rPr>
      <w:sz w:val="20"/>
      <w:szCs w:val="20"/>
    </w:rPr>
  </w:style>
  <w:style w:type="paragraph" w:styleId="Kommentarthema">
    <w:name w:val="annotation subject"/>
    <w:basedOn w:val="Kommentartext"/>
    <w:next w:val="Kommentartext"/>
    <w:link w:val="KommentarthemaZchn"/>
    <w:uiPriority w:val="99"/>
    <w:semiHidden/>
    <w:unhideWhenUsed/>
    <w:rsid w:val="004A4810"/>
    <w:rPr>
      <w:b/>
      <w:bCs/>
    </w:rPr>
  </w:style>
  <w:style w:type="character" w:customStyle="1" w:styleId="KommentarthemaZchn">
    <w:name w:val="Kommentarthema Zchn"/>
    <w:basedOn w:val="KommentartextZchn"/>
    <w:link w:val="Kommentarthema"/>
    <w:uiPriority w:val="99"/>
    <w:semiHidden/>
    <w:rsid w:val="004A4810"/>
    <w:rPr>
      <w:b/>
      <w:bCs/>
      <w:sz w:val="20"/>
      <w:szCs w:val="20"/>
    </w:rPr>
  </w:style>
  <w:style w:type="paragraph" w:styleId="Sprechblasentext">
    <w:name w:val="Balloon Text"/>
    <w:basedOn w:val="Standard"/>
    <w:link w:val="SprechblasentextZchn"/>
    <w:uiPriority w:val="99"/>
    <w:semiHidden/>
    <w:unhideWhenUsed/>
    <w:rsid w:val="004A481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A4810"/>
    <w:rPr>
      <w:rFonts w:ascii="Segoe UI" w:hAnsi="Segoe UI" w:cs="Segoe UI"/>
      <w:sz w:val="18"/>
      <w:szCs w:val="18"/>
    </w:rPr>
  </w:style>
  <w:style w:type="character" w:styleId="Hyperlink">
    <w:name w:val="Hyperlink"/>
    <w:basedOn w:val="Absatz-Standardschriftart"/>
    <w:uiPriority w:val="99"/>
    <w:unhideWhenUsed/>
    <w:rsid w:val="00DE3C26"/>
    <w:rPr>
      <w:color w:val="0000FF"/>
      <w:u w:val="single"/>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5" w:type="dxa"/>
        <w:left w:w="15" w:type="dxa"/>
        <w:bottom w:w="15" w:type="dxa"/>
        <w:right w:w="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before="480" w:after="120"/>
    </w:pPr>
    <w:rPr>
      <w:b/>
      <w:sz w:val="72"/>
      <w:szCs w:val="72"/>
    </w:rPr>
  </w:style>
  <w:style w:type="paragraph" w:styleId="StandardWeb">
    <w:name w:val="Normal (Web)"/>
    <w:basedOn w:val="Standard"/>
    <w:uiPriority w:val="99"/>
    <w:semiHidden/>
    <w:unhideWhenUsed/>
    <w:rsid w:val="00C75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bsatz-Standardschriftart"/>
    <w:rsid w:val="00C7567C"/>
  </w:style>
  <w:style w:type="paragraph" w:styleId="Listenabsatz">
    <w:name w:val="List Paragraph"/>
    <w:basedOn w:val="Standard"/>
    <w:uiPriority w:val="34"/>
    <w:qFormat/>
    <w:rsid w:val="00614DB3"/>
    <w:pPr>
      <w:ind w:left="720"/>
      <w:contextualSpacing/>
    </w:pPr>
  </w:style>
  <w:style w:type="character" w:styleId="Kommentarzeichen">
    <w:name w:val="annotation reference"/>
    <w:basedOn w:val="Absatz-Standardschriftart"/>
    <w:uiPriority w:val="99"/>
    <w:semiHidden/>
    <w:unhideWhenUsed/>
    <w:rsid w:val="004A4810"/>
    <w:rPr>
      <w:sz w:val="16"/>
      <w:szCs w:val="16"/>
    </w:rPr>
  </w:style>
  <w:style w:type="paragraph" w:styleId="Kommentartext">
    <w:name w:val="annotation text"/>
    <w:basedOn w:val="Standard"/>
    <w:link w:val="KommentartextZchn"/>
    <w:uiPriority w:val="99"/>
    <w:semiHidden/>
    <w:unhideWhenUsed/>
    <w:rsid w:val="004A481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A4810"/>
    <w:rPr>
      <w:sz w:val="20"/>
      <w:szCs w:val="20"/>
    </w:rPr>
  </w:style>
  <w:style w:type="paragraph" w:styleId="Kommentarthema">
    <w:name w:val="annotation subject"/>
    <w:basedOn w:val="Kommentartext"/>
    <w:next w:val="Kommentartext"/>
    <w:link w:val="KommentarthemaZchn"/>
    <w:uiPriority w:val="99"/>
    <w:semiHidden/>
    <w:unhideWhenUsed/>
    <w:rsid w:val="004A4810"/>
    <w:rPr>
      <w:b/>
      <w:bCs/>
    </w:rPr>
  </w:style>
  <w:style w:type="character" w:customStyle="1" w:styleId="KommentarthemaZchn">
    <w:name w:val="Kommentarthema Zchn"/>
    <w:basedOn w:val="KommentartextZchn"/>
    <w:link w:val="Kommentarthema"/>
    <w:uiPriority w:val="99"/>
    <w:semiHidden/>
    <w:rsid w:val="004A4810"/>
    <w:rPr>
      <w:b/>
      <w:bCs/>
      <w:sz w:val="20"/>
      <w:szCs w:val="20"/>
    </w:rPr>
  </w:style>
  <w:style w:type="paragraph" w:styleId="Sprechblasentext">
    <w:name w:val="Balloon Text"/>
    <w:basedOn w:val="Standard"/>
    <w:link w:val="SprechblasentextZchn"/>
    <w:uiPriority w:val="99"/>
    <w:semiHidden/>
    <w:unhideWhenUsed/>
    <w:rsid w:val="004A481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A4810"/>
    <w:rPr>
      <w:rFonts w:ascii="Segoe UI" w:hAnsi="Segoe UI" w:cs="Segoe UI"/>
      <w:sz w:val="18"/>
      <w:szCs w:val="18"/>
    </w:rPr>
  </w:style>
  <w:style w:type="character" w:styleId="Hyperlink">
    <w:name w:val="Hyperlink"/>
    <w:basedOn w:val="Absatz-Standardschriftart"/>
    <w:uiPriority w:val="99"/>
    <w:unhideWhenUsed/>
    <w:rsid w:val="00DE3C26"/>
    <w:rPr>
      <w:color w:val="0000FF"/>
      <w:u w:val="single"/>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751453">
      <w:bodyDiv w:val="1"/>
      <w:marLeft w:val="0"/>
      <w:marRight w:val="0"/>
      <w:marTop w:val="0"/>
      <w:marBottom w:val="0"/>
      <w:divBdr>
        <w:top w:val="none" w:sz="0" w:space="0" w:color="auto"/>
        <w:left w:val="none" w:sz="0" w:space="0" w:color="auto"/>
        <w:bottom w:val="none" w:sz="0" w:space="0" w:color="auto"/>
        <w:right w:val="none" w:sz="0" w:space="0" w:color="auto"/>
      </w:divBdr>
    </w:div>
    <w:div w:id="816801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iqbal@globalwitness.org"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hiqbal@globalwitnes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a.globalwitness.org/?c=3128&amp;k=27b40d3f4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hiqbal@globalwitness.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A97454CA89A341BCBFC8A3C8D2FEDE" ma:contentTypeVersion="14" ma:contentTypeDescription="Create a new document." ma:contentTypeScope="" ma:versionID="f2d35faa486ff4f1ccc7bfdc05a10b4f">
  <xsd:schema xmlns:xsd="http://www.w3.org/2001/XMLSchema" xmlns:xs="http://www.w3.org/2001/XMLSchema" xmlns:p="http://schemas.microsoft.com/office/2006/metadata/properties" xmlns:ns1="http://schemas.microsoft.com/sharepoint/v3" xmlns:ns2="bedfb24e-79bb-4efe-bd94-3de63013edc1" xmlns:ns3="30161448-a2f4-42cc-a32d-1a91d52e00b3" targetNamespace="http://schemas.microsoft.com/office/2006/metadata/properties" ma:root="true" ma:fieldsID="fe797c184adca738de3f03bf59086ba4" ns1:_="" ns2:_="" ns3:_="">
    <xsd:import namespace="http://schemas.microsoft.com/sharepoint/v3"/>
    <xsd:import namespace="bedfb24e-79bb-4efe-bd94-3de63013edc1"/>
    <xsd:import namespace="30161448-a2f4-42cc-a32d-1a91d52e00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dfb24e-79bb-4efe-bd94-3de63013e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61448-a2f4-42cc-a32d-1a91d52e00b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qMDWpdtxZ5prFVLwGhKHXr518hQ==">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9A4868A-9B9F-425F-9671-4855D39ECE3F}">
  <ds:schemaRefs>
    <ds:schemaRef ds:uri="http://schemas.microsoft.com/sharepoint/v3/contenttype/forms"/>
  </ds:schemaRefs>
</ds:datastoreItem>
</file>

<file path=customXml/itemProps2.xml><?xml version="1.0" encoding="utf-8"?>
<ds:datastoreItem xmlns:ds="http://schemas.openxmlformats.org/officeDocument/2006/customXml" ds:itemID="{C847702C-759F-458A-AA4A-71A376C06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dfb24e-79bb-4efe-bd94-3de63013edc1"/>
    <ds:schemaRef ds:uri="30161448-a2f4-42cc-a32d-1a91d52e0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9AFB77D-2041-4769-AA21-3DA3036DBC1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GW-SCCM</Company>
  <LinksUpToDate>false</LinksUpToDate>
  <CharactersWithSpaces>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Iqbal</dc:creator>
  <cp:lastModifiedBy>Düttmann, Denis</cp:lastModifiedBy>
  <cp:revision>2</cp:revision>
  <dcterms:created xsi:type="dcterms:W3CDTF">2020-07-22T18:08:00Z</dcterms:created>
  <dcterms:modified xsi:type="dcterms:W3CDTF">2020-07-22T18:08:00Z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0x010100DBA97454CA89A341BCBFC8A3C8D2FEDE</vt:lpwstr>
  </property>
</Properties>
</file>